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val="0"/>
        <w:keepLines w:val="0"/>
        <w:pageBreakBefore w:val="0"/>
        <w:widowControl w:val="0"/>
        <w:kinsoku w:val="0"/>
        <w:wordWrap/>
        <w:overflowPunct/>
        <w:topLinePunct w:val="0"/>
        <w:autoSpaceDE w:val="0"/>
        <w:autoSpaceDN w:val="0"/>
        <w:bidi w:val="0"/>
        <w:adjustRightInd w:val="0"/>
        <w:snapToGrid w:val="0"/>
        <w:spacing w:before="156" w:beforeLines="50" w:after="156" w:afterLines="50" w:line="360" w:lineRule="auto"/>
        <w:jc w:val="center"/>
        <w:textAlignment w:val="baseline"/>
        <w:rPr>
          <w:rFonts w:hint="eastAsia" w:cs="Arial" w:asciiTheme="minorEastAsia" w:hAnsiTheme="minorEastAsia" w:eastAsiaTheme="minorEastAsia"/>
          <w:b/>
          <w:bCs/>
          <w:snapToGrid w:val="0"/>
          <w:color w:val="000000"/>
          <w:sz w:val="36"/>
          <w:szCs w:val="36"/>
          <w:lang w:val="en-US" w:eastAsia="zh-CN" w:bidi="ar-SA"/>
        </w:rPr>
      </w:pPr>
      <w:r>
        <w:rPr>
          <w:rFonts w:hint="eastAsia" w:cs="Arial" w:asciiTheme="minorEastAsia" w:hAnsiTheme="minorEastAsia" w:eastAsiaTheme="minorEastAsia"/>
          <w:b/>
          <w:bCs/>
          <w:snapToGrid w:val="0"/>
          <w:color w:val="000000"/>
          <w:sz w:val="36"/>
          <w:szCs w:val="36"/>
          <w:lang w:val="en-US" w:eastAsia="zh-CN" w:bidi="ar-SA"/>
        </w:rPr>
        <w:t>采购人需求</w:t>
      </w:r>
    </w:p>
    <w:p>
      <w:pPr>
        <w:rPr>
          <w:rFonts w:hint="default"/>
          <w:lang w:val="en-US" w:eastAsia="zh-CN"/>
        </w:rPr>
      </w:pPr>
    </w:p>
    <w:p>
      <w:pPr>
        <w:pStyle w:val="3"/>
        <w:spacing w:before="156" w:beforeLines="50" w:after="156" w:afterLines="50" w:line="360" w:lineRule="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一、项目基本信息</w:t>
      </w:r>
    </w:p>
    <w:p>
      <w:pPr>
        <w:pStyle w:val="3"/>
        <w:spacing w:before="156" w:beforeLines="50" w:after="156" w:afterLines="50" w:line="360" w:lineRule="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1、项目名称：广东省工人医院电动密集柜项目</w:t>
      </w:r>
    </w:p>
    <w:p>
      <w:pPr>
        <w:pStyle w:val="3"/>
        <w:spacing w:before="156" w:beforeLines="50" w:after="156" w:afterLines="50" w:line="360" w:lineRule="auto"/>
        <w:rPr>
          <w:rFonts w:hint="default"/>
          <w:lang w:val="en-US" w:eastAsia="zh-CN"/>
        </w:rPr>
      </w:pPr>
      <w:r>
        <w:rPr>
          <w:rFonts w:hint="eastAsia" w:asciiTheme="minorEastAsia" w:hAnsiTheme="minorEastAsia" w:eastAsiaTheme="minorEastAsia"/>
          <w:sz w:val="28"/>
          <w:szCs w:val="28"/>
          <w:lang w:val="en-US" w:eastAsia="zh-CN"/>
        </w:rPr>
        <w:t>2、项目概述：为保障我院人事科、财务科、病案室等三个档案室材料放置需求，现集中采购一批定制电动密集柜。</w:t>
      </w:r>
    </w:p>
    <w:p>
      <w:pPr>
        <w:pStyle w:val="3"/>
        <w:spacing w:before="156" w:beforeLines="50" w:after="156" w:afterLines="50" w:line="360" w:lineRule="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3、需求项目：采用现场勘测、现场遴选会方式采购电动密集柜等家具项目。（</w:t>
      </w:r>
      <w:r>
        <w:rPr>
          <w:rFonts w:hint="eastAsia" w:cs="Times New Roman" w:asciiTheme="minorEastAsia" w:hAnsiTheme="minorEastAsia" w:eastAsiaTheme="minorEastAsia"/>
          <w:snapToGrid w:val="0"/>
          <w:color w:val="000000"/>
          <w:sz w:val="28"/>
          <w:szCs w:val="28"/>
          <w:lang w:val="en-US" w:eastAsia="zh-CN" w:bidi="ar-SA"/>
        </w:rPr>
        <w:t>本项目安排现场考察，投标人须在投标文件中提供设计安装图纸的，图纸中须包含但不限于：生产制造厂家、产品安装精确尺寸、设计人、校对人、审核人、批准人等信息。）</w:t>
      </w:r>
    </w:p>
    <w:p>
      <w:pPr>
        <w:pStyle w:val="3"/>
        <w:spacing w:before="156" w:beforeLines="50" w:after="156" w:afterLines="50" w:line="360" w:lineRule="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4、项目估算金额：15万元。本次采购的内容是协议服务资格的取得，并不代表服务已成交，服务费用按实际产生的费用结算。</w:t>
      </w:r>
    </w:p>
    <w:p>
      <w:pPr>
        <w:spacing w:line="360" w:lineRule="auto"/>
        <w:rPr>
          <w:rFonts w:hint="default" w:cs="Times New Roman" w:asciiTheme="minorEastAsia" w:hAnsiTheme="minorEastAsia" w:eastAsiaTheme="minorEastAsia"/>
          <w:snapToGrid w:val="0"/>
          <w:color w:val="000000"/>
          <w:sz w:val="28"/>
          <w:szCs w:val="28"/>
          <w:lang w:val="en-US" w:eastAsia="zh-CN" w:bidi="ar-SA"/>
        </w:rPr>
      </w:pPr>
      <w:r>
        <w:rPr>
          <w:rFonts w:hint="eastAsia" w:asciiTheme="minorEastAsia" w:hAnsiTheme="minorEastAsia" w:eastAsiaTheme="minorEastAsia"/>
          <w:sz w:val="28"/>
          <w:szCs w:val="28"/>
          <w:lang w:val="en-US" w:eastAsia="zh-CN"/>
        </w:rPr>
        <w:t>5、服务周期：</w:t>
      </w:r>
      <w:r>
        <w:rPr>
          <w:rFonts w:hint="eastAsia" w:cs="Times New Roman" w:asciiTheme="minorEastAsia" w:hAnsiTheme="minorEastAsia" w:eastAsiaTheme="minorEastAsia"/>
          <w:snapToGrid w:val="0"/>
          <w:color w:val="000000"/>
          <w:sz w:val="28"/>
          <w:szCs w:val="28"/>
          <w:lang w:val="en-US" w:eastAsia="zh-CN" w:bidi="ar-SA"/>
        </w:rPr>
        <w:t>在合同签订生效后30个日历日内完成交货及安装调试。</w:t>
      </w:r>
    </w:p>
    <w:p>
      <w:pPr>
        <w:pStyle w:val="3"/>
        <w:spacing w:before="156" w:beforeLines="50" w:after="156" w:afterLines="50" w:line="360" w:lineRule="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二、供应商报名资格要求</w:t>
      </w:r>
    </w:p>
    <w:p>
      <w:pPr>
        <w:pStyle w:val="3"/>
        <w:spacing w:before="156" w:beforeLines="50" w:after="156" w:afterLines="50" w:line="360" w:lineRule="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★1、在中华人民共和国境内注册的具有独立承担民事责任能力的法人或其他组织；</w:t>
      </w:r>
    </w:p>
    <w:p>
      <w:pPr>
        <w:pStyle w:val="3"/>
        <w:spacing w:before="156" w:beforeLines="50" w:after="156" w:afterLines="50" w:line="360" w:lineRule="auto"/>
        <w:rPr>
          <w:rFonts w:hint="eastAsia" w:cs="Times New Roman" w:asciiTheme="minorEastAsia" w:hAnsiTheme="minorEastAsia" w:eastAsiaTheme="minorEastAsia"/>
          <w:snapToGrid w:val="0"/>
          <w:color w:val="000000"/>
          <w:sz w:val="28"/>
          <w:szCs w:val="28"/>
          <w:lang w:val="en-US" w:eastAsia="zh-CN" w:bidi="ar-SA"/>
        </w:rPr>
      </w:pPr>
      <w:r>
        <w:rPr>
          <w:rFonts w:hint="eastAsia" w:asciiTheme="minorEastAsia" w:hAnsiTheme="minorEastAsia" w:eastAsiaTheme="minorEastAsia"/>
          <w:sz w:val="28"/>
          <w:szCs w:val="28"/>
          <w:lang w:val="en-US" w:eastAsia="zh-CN"/>
        </w:rPr>
        <w:t>★2、</w:t>
      </w:r>
      <w:r>
        <w:rPr>
          <w:rFonts w:hint="eastAsia" w:cs="Times New Roman" w:asciiTheme="minorEastAsia" w:hAnsiTheme="minorEastAsia" w:eastAsiaTheme="minorEastAsia"/>
          <w:snapToGrid w:val="0"/>
          <w:color w:val="000000"/>
          <w:sz w:val="28"/>
          <w:szCs w:val="28"/>
          <w:lang w:val="en-US" w:eastAsia="zh-CN" w:bidi="ar-SA"/>
        </w:rPr>
        <w:t>单位负责人为同一人或者存在直接控股、管理关系的不同供应商，不得参加同一项目报价，一经发现按废标处理并标记为不诚信供应商，须出具声明函；</w:t>
      </w:r>
    </w:p>
    <w:p>
      <w:pPr>
        <w:pStyle w:val="3"/>
        <w:spacing w:before="156" w:beforeLines="50" w:after="156" w:afterLines="50" w:line="360" w:lineRule="auto"/>
        <w:rPr>
          <w:rFonts w:hint="eastAsia" w:cs="Times New Roman" w:asciiTheme="minorEastAsia" w:hAnsiTheme="minorEastAsia" w:eastAsiaTheme="minorEastAsia"/>
          <w:snapToGrid w:val="0"/>
          <w:color w:val="000000"/>
          <w:sz w:val="28"/>
          <w:szCs w:val="28"/>
          <w:lang w:val="en-US" w:eastAsia="zh-CN" w:bidi="ar-SA"/>
        </w:rPr>
      </w:pPr>
      <w:r>
        <w:rPr>
          <w:rFonts w:hint="eastAsia" w:cs="Times New Roman" w:asciiTheme="minorEastAsia" w:hAnsiTheme="minorEastAsia" w:eastAsiaTheme="minorEastAsia"/>
          <w:snapToGrid w:val="0"/>
          <w:color w:val="000000"/>
          <w:sz w:val="28"/>
          <w:szCs w:val="28"/>
          <w:lang w:val="en-US" w:eastAsia="zh-CN" w:bidi="ar-SA"/>
        </w:rPr>
        <w:t>★3、供应商未被列入“信用中国”网站中“记录失信被执行人或重大税收违法案件当事人名单或政府采购严重违法失信行为”的记录名单，不处于“中国政府采购网”中“政府采购严重违法失信行为信息记录”的禁止参加政府采购活动期间，须提供网站查询结果截图证明；</w:t>
      </w:r>
    </w:p>
    <w:p>
      <w:pPr>
        <w:pStyle w:val="3"/>
        <w:keepNext w:val="0"/>
        <w:keepLines w:val="0"/>
        <w:pageBreakBefore w:val="0"/>
        <w:widowControl w:val="0"/>
        <w:kinsoku w:val="0"/>
        <w:wordWrap/>
        <w:overflowPunct/>
        <w:topLinePunct w:val="0"/>
        <w:autoSpaceDE w:val="0"/>
        <w:autoSpaceDN w:val="0"/>
        <w:bidi w:val="0"/>
        <w:adjustRightInd w:val="0"/>
        <w:snapToGrid w:val="0"/>
        <w:spacing w:before="156" w:beforeLines="50" w:after="156" w:afterLines="50" w:line="360" w:lineRule="auto"/>
        <w:jc w:val="both"/>
        <w:textAlignment w:val="baseline"/>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w:t>
      </w:r>
      <w:r>
        <w:rPr>
          <w:rFonts w:hint="eastAsia" w:cs="Times New Roman" w:asciiTheme="minorEastAsia" w:hAnsiTheme="minorEastAsia" w:eastAsiaTheme="minorEastAsia"/>
          <w:snapToGrid w:val="0"/>
          <w:color w:val="000000"/>
          <w:sz w:val="28"/>
          <w:szCs w:val="28"/>
          <w:lang w:val="en-US" w:eastAsia="zh-CN" w:bidi="ar-SA"/>
        </w:rPr>
        <w:t>4、</w:t>
      </w:r>
      <w:r>
        <w:rPr>
          <w:rFonts w:hint="eastAsia" w:asciiTheme="minorEastAsia" w:hAnsiTheme="minorEastAsia" w:eastAsiaTheme="minorEastAsia"/>
          <w:sz w:val="28"/>
          <w:szCs w:val="28"/>
          <w:lang w:val="en-US" w:eastAsia="zh-CN"/>
        </w:rPr>
        <w:t>依法取得中华人民共和国境内注册的营业执照（或事业单位法人证书，或社会团体法人登记证书，或执业许可证）、组织机构代码证和税务登记证，须提供证书扫描件；</w:t>
      </w:r>
    </w:p>
    <w:p>
      <w:pPr>
        <w:spacing w:line="360" w:lineRule="auto"/>
        <w:jc w:val="both"/>
        <w:rPr>
          <w:rFonts w:hint="default"/>
          <w:lang w:val="en-US" w:eastAsia="zh-CN"/>
        </w:rPr>
      </w:pPr>
      <w:r>
        <w:rPr>
          <w:rFonts w:hint="eastAsia" w:asciiTheme="minorEastAsia" w:hAnsiTheme="minorEastAsia" w:eastAsiaTheme="minorEastAsia"/>
          <w:sz w:val="28"/>
          <w:szCs w:val="28"/>
          <w:lang w:val="en-US" w:eastAsia="zh-CN"/>
        </w:rPr>
        <w:t>5、油漆(包括水性漆)、胶水、基材、五金配件等本次招标物料应提供相关检测报告证书，其产品应符合国家及招标文件规定的环保标准值，提供复印件证明。</w:t>
      </w:r>
    </w:p>
    <w:p>
      <w:pPr>
        <w:pStyle w:val="3"/>
        <w:spacing w:before="156" w:beforeLines="50" w:after="156" w:afterLines="50" w:line="360" w:lineRule="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6、本项目不接受联合体响应；</w:t>
      </w:r>
    </w:p>
    <w:p>
      <w:pPr>
        <w:pStyle w:val="3"/>
        <w:spacing w:before="156" w:beforeLines="50" w:after="156" w:afterLines="50" w:line="360" w:lineRule="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7、其他相关证件及资质。</w:t>
      </w:r>
    </w:p>
    <w:p>
      <w:pPr>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三、采购需求</w:t>
      </w:r>
    </w:p>
    <w:p>
      <w:pPr>
        <w:rPr>
          <w:rFonts w:hint="eastAsia" w:asciiTheme="minorEastAsia" w:hAnsiTheme="minorEastAsia" w:eastAsiaTheme="minorEastAsia"/>
          <w:sz w:val="28"/>
          <w:szCs w:val="28"/>
          <w:lang w:val="en-US" w:eastAsia="zh-CN"/>
        </w:rPr>
      </w:pPr>
    </w:p>
    <w:p>
      <w:pPr>
        <w:numPr>
          <w:ilvl w:val="0"/>
          <w:numId w:val="1"/>
        </w:numPr>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定制电动密集柜尺寸要求</w:t>
      </w:r>
    </w:p>
    <w:p>
      <w:pPr>
        <w:numPr>
          <w:ilvl w:val="0"/>
          <w:numId w:val="0"/>
        </w:numPr>
        <w:rPr>
          <w:rFonts w:hint="eastAsia" w:asciiTheme="minorEastAsia" w:hAnsiTheme="minorEastAsia" w:eastAsiaTheme="minorEastAsia"/>
          <w:sz w:val="28"/>
          <w:szCs w:val="28"/>
          <w:lang w:val="en-US" w:eastAsia="zh-CN"/>
        </w:rPr>
      </w:pPr>
    </w:p>
    <w:tbl>
      <w:tblPr>
        <w:tblStyle w:val="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5625"/>
        <w:gridCol w:w="2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88" w:type="dxa"/>
          </w:tcPr>
          <w:p>
            <w:pPr>
              <w:widowControl w:val="0"/>
              <w:numPr>
                <w:ilvl w:val="0"/>
                <w:numId w:val="0"/>
              </w:numPr>
              <w:jc w:val="center"/>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科室</w:t>
            </w:r>
          </w:p>
        </w:tc>
        <w:tc>
          <w:tcPr>
            <w:tcW w:w="5625" w:type="dxa"/>
          </w:tcPr>
          <w:p>
            <w:pPr>
              <w:widowControl w:val="0"/>
              <w:numPr>
                <w:ilvl w:val="0"/>
                <w:numId w:val="0"/>
              </w:numPr>
              <w:spacing w:line="360" w:lineRule="auto"/>
              <w:jc w:val="center"/>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放置需求</w:t>
            </w:r>
          </w:p>
        </w:tc>
        <w:tc>
          <w:tcPr>
            <w:tcW w:w="2767" w:type="dxa"/>
          </w:tcPr>
          <w:p>
            <w:pPr>
              <w:widowControl w:val="0"/>
              <w:numPr>
                <w:ilvl w:val="0"/>
                <w:numId w:val="0"/>
              </w:numPr>
              <w:jc w:val="center"/>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8" w:type="dxa"/>
          </w:tcPr>
          <w:p>
            <w:pPr>
              <w:widowControl w:val="0"/>
              <w:numPr>
                <w:ilvl w:val="0"/>
                <w:numId w:val="0"/>
              </w:numPr>
              <w:jc w:val="center"/>
              <w:rPr>
                <w:rFonts w:hint="eastAsia" w:asciiTheme="minorEastAsia" w:hAnsiTheme="minorEastAsia" w:eastAsiaTheme="minorEastAsia"/>
                <w:sz w:val="28"/>
                <w:szCs w:val="28"/>
                <w:vertAlign w:val="baseline"/>
                <w:lang w:val="en-US" w:eastAsia="zh-CN"/>
              </w:rPr>
            </w:pPr>
          </w:p>
          <w:p>
            <w:pPr>
              <w:widowControl w:val="0"/>
              <w:numPr>
                <w:ilvl w:val="0"/>
                <w:numId w:val="0"/>
              </w:numPr>
              <w:jc w:val="center"/>
              <w:rPr>
                <w:rFonts w:hint="eastAsia" w:asciiTheme="minorEastAsia" w:hAnsiTheme="minorEastAsia" w:eastAsiaTheme="minorEastAsia"/>
                <w:sz w:val="28"/>
                <w:szCs w:val="28"/>
                <w:vertAlign w:val="baseline"/>
                <w:lang w:val="en-US" w:eastAsia="zh-CN"/>
              </w:rPr>
            </w:pPr>
          </w:p>
          <w:p>
            <w:pPr>
              <w:widowControl w:val="0"/>
              <w:numPr>
                <w:ilvl w:val="0"/>
                <w:numId w:val="0"/>
              </w:numPr>
              <w:jc w:val="center"/>
              <w:rPr>
                <w:rFonts w:hint="eastAsia" w:asciiTheme="minorEastAsia" w:hAnsiTheme="minorEastAsia" w:eastAsiaTheme="minorEastAsia"/>
                <w:sz w:val="28"/>
                <w:szCs w:val="28"/>
                <w:vertAlign w:val="baseline"/>
                <w:lang w:val="en-US" w:eastAsia="zh-CN"/>
              </w:rPr>
            </w:pPr>
          </w:p>
          <w:p>
            <w:pPr>
              <w:widowControl w:val="0"/>
              <w:numPr>
                <w:ilvl w:val="0"/>
                <w:numId w:val="0"/>
              </w:numPr>
              <w:jc w:val="center"/>
              <w:rPr>
                <w:rFonts w:hint="eastAsia" w:asciiTheme="minorEastAsia" w:hAnsiTheme="minorEastAsia" w:eastAsiaTheme="minorEastAsia"/>
                <w:sz w:val="28"/>
                <w:szCs w:val="28"/>
                <w:vertAlign w:val="baseline"/>
                <w:lang w:val="en-US" w:eastAsia="zh-CN"/>
              </w:rPr>
            </w:pPr>
          </w:p>
          <w:p>
            <w:pPr>
              <w:widowControl w:val="0"/>
              <w:numPr>
                <w:ilvl w:val="0"/>
                <w:numId w:val="0"/>
              </w:numPr>
              <w:jc w:val="center"/>
              <w:rPr>
                <w:rFonts w:hint="eastAsia"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人</w:t>
            </w:r>
          </w:p>
          <w:p>
            <w:pPr>
              <w:widowControl w:val="0"/>
              <w:numPr>
                <w:ilvl w:val="0"/>
                <w:numId w:val="0"/>
              </w:numPr>
              <w:jc w:val="center"/>
              <w:rPr>
                <w:rFonts w:hint="eastAsia"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事</w:t>
            </w:r>
          </w:p>
          <w:p>
            <w:pPr>
              <w:widowControl w:val="0"/>
              <w:numPr>
                <w:ilvl w:val="0"/>
                <w:numId w:val="0"/>
              </w:numPr>
              <w:jc w:val="center"/>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科</w:t>
            </w:r>
          </w:p>
        </w:tc>
        <w:tc>
          <w:tcPr>
            <w:tcW w:w="5625" w:type="dxa"/>
          </w:tcPr>
          <w:p>
            <w:pPr>
              <w:widowControl w:val="0"/>
              <w:jc w:val="both"/>
              <w:rPr>
                <w:rFonts w:hint="eastAsia"/>
                <w:lang w:val="en-US" w:eastAsia="zh-CN"/>
              </w:rPr>
            </w:pPr>
            <w:r>
              <w:drawing>
                <wp:anchor distT="0" distB="0" distL="114300" distR="114300" simplePos="0" relativeHeight="251660288" behindDoc="0" locked="0" layoutInCell="1" allowOverlap="1">
                  <wp:simplePos x="0" y="0"/>
                  <wp:positionH relativeFrom="column">
                    <wp:posOffset>55245</wp:posOffset>
                  </wp:positionH>
                  <wp:positionV relativeFrom="paragraph">
                    <wp:posOffset>127000</wp:posOffset>
                  </wp:positionV>
                  <wp:extent cx="1427480" cy="2284730"/>
                  <wp:effectExtent l="0" t="0" r="1270" b="127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1427480" cy="2284730"/>
                          </a:xfrm>
                          <a:prstGeom prst="rect">
                            <a:avLst/>
                          </a:prstGeom>
                          <a:noFill/>
                          <a:ln>
                            <a:noFill/>
                          </a:ln>
                        </pic:spPr>
                      </pic:pic>
                    </a:graphicData>
                  </a:graphic>
                </wp:anchor>
              </w:drawing>
            </w:r>
            <w:r>
              <w:rPr>
                <w:rFonts w:hint="eastAsia"/>
                <w:lang w:val="en-US" w:eastAsia="zh-CN"/>
              </w:rPr>
              <w:t>长 26cm 宽7cm 高34cm  蓝色文件盒 竖放</w:t>
            </w:r>
          </w:p>
          <w:p>
            <w:pPr>
              <w:widowControl w:val="0"/>
              <w:numPr>
                <w:ilvl w:val="0"/>
                <w:numId w:val="0"/>
              </w:numPr>
              <w:tabs>
                <w:tab w:val="center" w:pos="2825"/>
              </w:tabs>
              <w:jc w:val="both"/>
              <w:rPr>
                <w:rFonts w:hint="default" w:asciiTheme="minorEastAsia" w:hAnsiTheme="minorEastAsia" w:eastAsiaTheme="minorEastAsia"/>
                <w:sz w:val="28"/>
                <w:szCs w:val="28"/>
                <w:vertAlign w:val="baseline"/>
                <w:lang w:val="en-US" w:eastAsia="zh-CN"/>
              </w:rPr>
            </w:pPr>
          </w:p>
        </w:tc>
        <w:tc>
          <w:tcPr>
            <w:tcW w:w="2767" w:type="dxa"/>
          </w:tcPr>
          <w:p>
            <w:pPr>
              <w:widowControl w:val="0"/>
              <w:numPr>
                <w:ilvl w:val="0"/>
                <w:numId w:val="0"/>
              </w:numPr>
              <w:jc w:val="both"/>
              <w:rPr>
                <w:rFonts w:hint="eastAsia"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天花板高度约2.65m</w:t>
            </w:r>
          </w:p>
          <w:p>
            <w:pPr>
              <w:widowControl w:val="0"/>
              <w:numPr>
                <w:ilvl w:val="0"/>
                <w:numId w:val="0"/>
              </w:numPr>
              <w:jc w:val="both"/>
              <w:rPr>
                <w:rFonts w:hint="eastAsia" w:asciiTheme="minorEastAsia" w:hAnsiTheme="minorEastAsia" w:eastAsiaTheme="minorEastAsia"/>
                <w:sz w:val="28"/>
                <w:szCs w:val="28"/>
                <w:vertAlign w:val="baseline"/>
                <w:lang w:val="en-US" w:eastAsia="zh-CN"/>
              </w:rPr>
            </w:pPr>
          </w:p>
          <w:p>
            <w:pPr>
              <w:widowControl w:val="0"/>
              <w:numPr>
                <w:ilvl w:val="0"/>
                <w:numId w:val="0"/>
              </w:numPr>
              <w:jc w:val="both"/>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整体密集柜中间列数需要制作柜门分隔开两部分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0" w:hRule="atLeast"/>
        </w:trPr>
        <w:tc>
          <w:tcPr>
            <w:tcW w:w="788" w:type="dxa"/>
          </w:tcPr>
          <w:p>
            <w:pPr>
              <w:widowControl w:val="0"/>
              <w:numPr>
                <w:ilvl w:val="0"/>
                <w:numId w:val="0"/>
              </w:numPr>
              <w:jc w:val="center"/>
              <w:rPr>
                <w:rFonts w:hint="eastAsia" w:asciiTheme="minorEastAsia" w:hAnsiTheme="minorEastAsia" w:eastAsiaTheme="minorEastAsia"/>
                <w:sz w:val="28"/>
                <w:szCs w:val="28"/>
                <w:vertAlign w:val="baseline"/>
                <w:lang w:val="en-US" w:eastAsia="zh-CN"/>
              </w:rPr>
            </w:pPr>
          </w:p>
          <w:p>
            <w:pPr>
              <w:widowControl w:val="0"/>
              <w:numPr>
                <w:ilvl w:val="0"/>
                <w:numId w:val="0"/>
              </w:numPr>
              <w:jc w:val="center"/>
              <w:rPr>
                <w:rFonts w:hint="eastAsia" w:asciiTheme="minorEastAsia" w:hAnsiTheme="minorEastAsia" w:eastAsiaTheme="minorEastAsia"/>
                <w:sz w:val="28"/>
                <w:szCs w:val="28"/>
                <w:vertAlign w:val="baseline"/>
                <w:lang w:val="en-US" w:eastAsia="zh-CN"/>
              </w:rPr>
            </w:pPr>
          </w:p>
          <w:p>
            <w:pPr>
              <w:widowControl w:val="0"/>
              <w:numPr>
                <w:ilvl w:val="0"/>
                <w:numId w:val="0"/>
              </w:numPr>
              <w:jc w:val="center"/>
              <w:rPr>
                <w:rFonts w:hint="eastAsia" w:asciiTheme="minorEastAsia" w:hAnsiTheme="minorEastAsia" w:eastAsiaTheme="minorEastAsia"/>
                <w:sz w:val="28"/>
                <w:szCs w:val="28"/>
                <w:vertAlign w:val="baseline"/>
                <w:lang w:val="en-US" w:eastAsia="zh-CN"/>
              </w:rPr>
            </w:pPr>
          </w:p>
          <w:p>
            <w:pPr>
              <w:widowControl w:val="0"/>
              <w:numPr>
                <w:ilvl w:val="0"/>
                <w:numId w:val="0"/>
              </w:numPr>
              <w:jc w:val="center"/>
              <w:rPr>
                <w:rFonts w:hint="eastAsia"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财</w:t>
            </w:r>
          </w:p>
          <w:p>
            <w:pPr>
              <w:widowControl w:val="0"/>
              <w:numPr>
                <w:ilvl w:val="0"/>
                <w:numId w:val="0"/>
              </w:numPr>
              <w:jc w:val="center"/>
              <w:rPr>
                <w:rFonts w:hint="eastAsia"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务</w:t>
            </w:r>
          </w:p>
          <w:p>
            <w:pPr>
              <w:widowControl w:val="0"/>
              <w:numPr>
                <w:ilvl w:val="0"/>
                <w:numId w:val="0"/>
              </w:numPr>
              <w:jc w:val="center"/>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科</w:t>
            </w:r>
            <w:bookmarkStart w:id="0" w:name="_GoBack"/>
            <w:bookmarkEnd w:id="0"/>
          </w:p>
        </w:tc>
        <w:tc>
          <w:tcPr>
            <w:tcW w:w="5625" w:type="dxa"/>
          </w:tcPr>
          <w:p>
            <w:pPr>
              <w:widowControl w:val="0"/>
              <w:jc w:val="both"/>
              <w:rPr>
                <w:rFonts w:hint="eastAsia"/>
                <w:lang w:val="en-US" w:eastAsia="zh-CN"/>
              </w:rPr>
            </w:pPr>
            <w:r>
              <w:rPr>
                <w:rFonts w:hint="eastAsia"/>
                <w:lang w:val="en-US" w:eastAsia="zh-CN"/>
              </w:rPr>
              <w:drawing>
                <wp:inline distT="0" distB="0" distL="114300" distR="114300">
                  <wp:extent cx="2225675" cy="1889760"/>
                  <wp:effectExtent l="0" t="0" r="3175" b="15240"/>
                  <wp:docPr id="5" name="图片 5" descr="ec9f6629f0123bd6ff0f5dd4684ff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c9f6629f0123bd6ff0f5dd4684ff77"/>
                          <pic:cNvPicPr>
                            <a:picLocks noChangeAspect="1"/>
                          </pic:cNvPicPr>
                        </pic:nvPicPr>
                        <pic:blipFill>
                          <a:blip r:embed="rId5"/>
                          <a:stretch>
                            <a:fillRect/>
                          </a:stretch>
                        </pic:blipFill>
                        <pic:spPr>
                          <a:xfrm>
                            <a:off x="0" y="0"/>
                            <a:ext cx="2225675" cy="1889760"/>
                          </a:xfrm>
                          <a:prstGeom prst="rect">
                            <a:avLst/>
                          </a:prstGeom>
                        </pic:spPr>
                      </pic:pic>
                    </a:graphicData>
                  </a:graphic>
                </wp:inline>
              </w:drawing>
            </w:r>
          </w:p>
          <w:p>
            <w:pPr>
              <w:widowControl w:val="0"/>
              <w:jc w:val="both"/>
              <w:rPr>
                <w:rFonts w:hint="eastAsia"/>
                <w:lang w:val="en-US" w:eastAsia="zh-CN"/>
              </w:rPr>
            </w:pPr>
          </w:p>
          <w:p>
            <w:pPr>
              <w:widowControl w:val="0"/>
              <w:jc w:val="both"/>
              <w:rPr>
                <w:rFonts w:hint="eastAsia"/>
                <w:lang w:val="en-US" w:eastAsia="zh-CN"/>
              </w:rPr>
            </w:pPr>
            <w:r>
              <w:rPr>
                <w:rFonts w:hint="eastAsia"/>
                <w:lang w:val="en-US" w:eastAsia="zh-CN"/>
              </w:rPr>
              <w:t>厚纸盒 会计档案盒尺寸：长40cm*宽31.5cm*高25cm</w:t>
            </w:r>
          </w:p>
          <w:p>
            <w:pPr>
              <w:widowControl w:val="0"/>
              <w:numPr>
                <w:ilvl w:val="0"/>
                <w:numId w:val="0"/>
              </w:numPr>
              <w:jc w:val="both"/>
              <w:rPr>
                <w:rFonts w:hint="default" w:asciiTheme="minorEastAsia" w:hAnsiTheme="minorEastAsia" w:eastAsiaTheme="minorEastAsia"/>
                <w:sz w:val="28"/>
                <w:szCs w:val="28"/>
                <w:vertAlign w:val="baseline"/>
                <w:lang w:val="en-US" w:eastAsia="zh-CN"/>
              </w:rPr>
            </w:pPr>
          </w:p>
        </w:tc>
        <w:tc>
          <w:tcPr>
            <w:tcW w:w="2767" w:type="dxa"/>
          </w:tcPr>
          <w:p>
            <w:pPr>
              <w:widowControl w:val="0"/>
              <w:numPr>
                <w:ilvl w:val="0"/>
                <w:numId w:val="0"/>
              </w:numPr>
              <w:jc w:val="both"/>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天花板高度约2.65m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9" w:hRule="atLeast"/>
        </w:trPr>
        <w:tc>
          <w:tcPr>
            <w:tcW w:w="788" w:type="dxa"/>
          </w:tcPr>
          <w:p>
            <w:pPr>
              <w:widowControl w:val="0"/>
              <w:numPr>
                <w:ilvl w:val="0"/>
                <w:numId w:val="0"/>
              </w:numPr>
              <w:jc w:val="center"/>
              <w:rPr>
                <w:rFonts w:hint="eastAsia" w:asciiTheme="minorEastAsia" w:hAnsiTheme="minorEastAsia" w:eastAsiaTheme="minorEastAsia"/>
                <w:sz w:val="28"/>
                <w:szCs w:val="28"/>
                <w:vertAlign w:val="baseline"/>
                <w:lang w:val="en-US" w:eastAsia="zh-CN"/>
              </w:rPr>
            </w:pPr>
          </w:p>
          <w:p>
            <w:pPr>
              <w:widowControl w:val="0"/>
              <w:numPr>
                <w:ilvl w:val="0"/>
                <w:numId w:val="0"/>
              </w:numPr>
              <w:jc w:val="center"/>
              <w:rPr>
                <w:rFonts w:hint="eastAsia" w:asciiTheme="minorEastAsia" w:hAnsiTheme="minorEastAsia" w:eastAsiaTheme="minorEastAsia"/>
                <w:sz w:val="28"/>
                <w:szCs w:val="28"/>
                <w:vertAlign w:val="baseline"/>
                <w:lang w:val="en-US" w:eastAsia="zh-CN"/>
              </w:rPr>
            </w:pPr>
          </w:p>
          <w:p>
            <w:pPr>
              <w:widowControl w:val="0"/>
              <w:numPr>
                <w:ilvl w:val="0"/>
                <w:numId w:val="0"/>
              </w:numPr>
              <w:jc w:val="center"/>
              <w:rPr>
                <w:rFonts w:hint="eastAsia" w:asciiTheme="minorEastAsia" w:hAnsiTheme="minorEastAsia" w:eastAsiaTheme="minorEastAsia"/>
                <w:sz w:val="28"/>
                <w:szCs w:val="28"/>
                <w:vertAlign w:val="baseline"/>
                <w:lang w:val="en-US" w:eastAsia="zh-CN"/>
              </w:rPr>
            </w:pPr>
          </w:p>
          <w:p>
            <w:pPr>
              <w:widowControl w:val="0"/>
              <w:numPr>
                <w:ilvl w:val="0"/>
                <w:numId w:val="0"/>
              </w:numPr>
              <w:jc w:val="center"/>
              <w:rPr>
                <w:rFonts w:hint="eastAsia" w:asciiTheme="minorEastAsia" w:hAnsiTheme="minorEastAsia" w:eastAsiaTheme="minorEastAsia"/>
                <w:sz w:val="28"/>
                <w:szCs w:val="28"/>
                <w:vertAlign w:val="baseline"/>
                <w:lang w:val="en-US" w:eastAsia="zh-CN"/>
              </w:rPr>
            </w:pPr>
          </w:p>
          <w:p>
            <w:pPr>
              <w:widowControl w:val="0"/>
              <w:numPr>
                <w:ilvl w:val="0"/>
                <w:numId w:val="0"/>
              </w:numPr>
              <w:jc w:val="center"/>
              <w:rPr>
                <w:rFonts w:hint="eastAsia" w:asciiTheme="minorEastAsia" w:hAnsiTheme="minorEastAsia" w:eastAsiaTheme="minorEastAsia"/>
                <w:sz w:val="28"/>
                <w:szCs w:val="28"/>
                <w:vertAlign w:val="baseline"/>
                <w:lang w:val="en-US" w:eastAsia="zh-CN"/>
              </w:rPr>
            </w:pPr>
          </w:p>
          <w:p>
            <w:pPr>
              <w:widowControl w:val="0"/>
              <w:numPr>
                <w:ilvl w:val="0"/>
                <w:numId w:val="0"/>
              </w:numPr>
              <w:jc w:val="center"/>
              <w:rPr>
                <w:rFonts w:hint="eastAsia"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病</w:t>
            </w:r>
          </w:p>
          <w:p>
            <w:pPr>
              <w:widowControl w:val="0"/>
              <w:numPr>
                <w:ilvl w:val="0"/>
                <w:numId w:val="0"/>
              </w:numPr>
              <w:jc w:val="center"/>
              <w:rPr>
                <w:rFonts w:hint="eastAsia"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案</w:t>
            </w:r>
          </w:p>
          <w:p>
            <w:pPr>
              <w:widowControl w:val="0"/>
              <w:numPr>
                <w:ilvl w:val="0"/>
                <w:numId w:val="0"/>
              </w:numPr>
              <w:jc w:val="center"/>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室</w:t>
            </w:r>
          </w:p>
        </w:tc>
        <w:tc>
          <w:tcPr>
            <w:tcW w:w="5625" w:type="dxa"/>
          </w:tcPr>
          <w:p>
            <w:pPr>
              <w:widowControl w:val="0"/>
              <w:numPr>
                <w:ilvl w:val="0"/>
                <w:numId w:val="0"/>
              </w:numPr>
              <w:jc w:val="both"/>
              <w:rPr>
                <w:rFonts w:hint="default" w:asciiTheme="minorEastAsia" w:hAnsiTheme="minorEastAsia" w:eastAsiaTheme="minorEastAsia"/>
                <w:sz w:val="28"/>
                <w:szCs w:val="28"/>
                <w:vertAlign w:val="baseline"/>
                <w:lang w:val="en-US" w:eastAsia="zh-CN"/>
              </w:rPr>
            </w:pPr>
            <w:r>
              <w:rPr>
                <w:rFonts w:hint="default"/>
                <w:lang w:val="en-US" w:eastAsia="zh-CN"/>
              </w:rPr>
              <w:drawing>
                <wp:anchor distT="0" distB="0" distL="114300" distR="114300" simplePos="0" relativeHeight="251659264" behindDoc="0" locked="0" layoutInCell="1" allowOverlap="1">
                  <wp:simplePos x="0" y="0"/>
                  <wp:positionH relativeFrom="column">
                    <wp:posOffset>45720</wp:posOffset>
                  </wp:positionH>
                  <wp:positionV relativeFrom="paragraph">
                    <wp:posOffset>67310</wp:posOffset>
                  </wp:positionV>
                  <wp:extent cx="1781810" cy="2375535"/>
                  <wp:effectExtent l="0" t="0" r="8890" b="5715"/>
                  <wp:wrapTopAndBottom/>
                  <wp:docPr id="1" name="图片 1" descr="5562d2eac4e5a79fcc8af7fe4cff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562d2eac4e5a79fcc8af7fe4cffaaa"/>
                          <pic:cNvPicPr>
                            <a:picLocks noChangeAspect="1"/>
                          </pic:cNvPicPr>
                        </pic:nvPicPr>
                        <pic:blipFill>
                          <a:blip r:embed="rId6"/>
                          <a:stretch>
                            <a:fillRect/>
                          </a:stretch>
                        </pic:blipFill>
                        <pic:spPr>
                          <a:xfrm>
                            <a:off x="0" y="0"/>
                            <a:ext cx="1781810" cy="2375535"/>
                          </a:xfrm>
                          <a:prstGeom prst="rect">
                            <a:avLst/>
                          </a:prstGeom>
                        </pic:spPr>
                      </pic:pic>
                    </a:graphicData>
                  </a:graphic>
                </wp:anchor>
              </w:drawing>
            </w:r>
            <w:r>
              <w:rPr>
                <w:rFonts w:hint="eastAsia"/>
                <w:lang w:val="en-US" w:eastAsia="zh-CN"/>
              </w:rPr>
              <w:t>放置病历本尺寸：深度31cm*高度27.5cm*宽度不做要求</w:t>
            </w:r>
          </w:p>
        </w:tc>
        <w:tc>
          <w:tcPr>
            <w:tcW w:w="2767" w:type="dxa"/>
          </w:tcPr>
          <w:p>
            <w:pPr>
              <w:widowControl w:val="0"/>
              <w:numPr>
                <w:ilvl w:val="0"/>
                <w:numId w:val="0"/>
              </w:numPr>
              <w:jc w:val="both"/>
              <w:rPr>
                <w:rFonts w:hint="eastAsia"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天花板高度约2.65m</w:t>
            </w:r>
          </w:p>
          <w:p>
            <w:pPr>
              <w:widowControl w:val="0"/>
              <w:numPr>
                <w:ilvl w:val="0"/>
                <w:numId w:val="0"/>
              </w:numPr>
              <w:jc w:val="both"/>
              <w:rPr>
                <w:rFonts w:hint="eastAsia" w:asciiTheme="minorEastAsia" w:hAnsiTheme="minorEastAsia" w:eastAsiaTheme="minorEastAsia"/>
                <w:sz w:val="28"/>
                <w:szCs w:val="28"/>
                <w:vertAlign w:val="baseline"/>
                <w:lang w:val="en-US" w:eastAsia="zh-CN"/>
              </w:rPr>
            </w:pPr>
          </w:p>
          <w:p>
            <w:pPr>
              <w:widowControl w:val="0"/>
              <w:numPr>
                <w:ilvl w:val="0"/>
                <w:numId w:val="0"/>
              </w:numPr>
              <w:jc w:val="both"/>
              <w:rPr>
                <w:rFonts w:hint="default" w:asciiTheme="minorEastAsia" w:hAnsiTheme="minorEastAsia" w:eastAsiaTheme="minorEastAsia"/>
                <w:sz w:val="28"/>
                <w:szCs w:val="28"/>
                <w:vertAlign w:val="baseline"/>
                <w:lang w:val="en-US" w:eastAsia="zh-CN"/>
              </w:rPr>
            </w:pPr>
            <w:r>
              <w:rPr>
                <w:rFonts w:hint="eastAsia" w:asciiTheme="minorEastAsia" w:hAnsiTheme="minorEastAsia" w:eastAsiaTheme="minorEastAsia"/>
                <w:sz w:val="28"/>
                <w:szCs w:val="28"/>
                <w:vertAlign w:val="baseline"/>
                <w:lang w:val="en-US" w:eastAsia="zh-CN"/>
              </w:rPr>
              <w:t>柜门需要通体柜门</w:t>
            </w:r>
          </w:p>
        </w:tc>
      </w:tr>
    </w:tbl>
    <w:p>
      <w:pPr>
        <w:numPr>
          <w:ilvl w:val="0"/>
          <w:numId w:val="0"/>
        </w:numPr>
        <w:rPr>
          <w:rFonts w:hint="default" w:asciiTheme="minorEastAsia" w:hAnsiTheme="minorEastAsia" w:eastAsiaTheme="minorEastAsia"/>
          <w:sz w:val="28"/>
          <w:szCs w:val="28"/>
          <w:lang w:val="en-US" w:eastAsia="zh-CN"/>
        </w:rPr>
      </w:pPr>
    </w:p>
    <w:p>
      <w:pPr>
        <w:rPr>
          <w:rFonts w:hint="eastAsia" w:asciiTheme="minorEastAsia" w:hAnsiTheme="minorEastAsia" w:eastAsiaTheme="minorEastAsia"/>
          <w:sz w:val="28"/>
          <w:szCs w:val="28"/>
          <w:lang w:val="en-US" w:eastAsia="zh-CN"/>
        </w:rPr>
      </w:pPr>
    </w:p>
    <w:p>
      <w:pPr>
        <w:spacing w:line="360" w:lineRule="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2、电动密集柜规格、材质要求</w:t>
      </w:r>
    </w:p>
    <w:p>
      <w:pPr>
        <w:pStyle w:val="3"/>
        <w:spacing w:before="156" w:beforeLines="50" w:after="156" w:afterLines="50" w:line="360" w:lineRule="auto"/>
        <w:ind w:firstLine="368" w:firstLineChars="0"/>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 xml:space="preserve">下列表中的钢板厚度是指钢板实际裸厚度，不含漆膜及附着物厚度，不得以理论值或市场行规的说法而减少钢板厚度，须根据钢材国家标准测量，否则视为不合格产品，采购人将有权终止合同并保留索赔追究责任的权利。材质参数不低于列表要求，可使用更优材质参数。 </w:t>
      </w:r>
    </w:p>
    <w:tbl>
      <w:tblPr>
        <w:tblStyle w:val="5"/>
        <w:tblW w:w="51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014"/>
        <w:gridCol w:w="1108"/>
        <w:gridCol w:w="1925"/>
        <w:gridCol w:w="1429"/>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715" w:type="pct"/>
          </w:tcPr>
          <w:p>
            <w:pPr>
              <w:keepNext w:val="0"/>
              <w:keepLines w:val="0"/>
              <w:widowControl/>
              <w:suppressLineNumbers w:val="0"/>
              <w:jc w:val="center"/>
              <w:rPr>
                <w:rFonts w:hint="eastAsia"/>
                <w:vertAlign w:val="baseline"/>
                <w:lang w:val="en-US" w:eastAsia="zh-CN"/>
              </w:rPr>
            </w:pPr>
            <w:r>
              <w:rPr>
                <w:rFonts w:hint="eastAsia" w:ascii="宋体" w:hAnsi="宋体" w:eastAsia="宋体" w:cs="宋体"/>
                <w:b/>
                <w:bCs/>
                <w:snapToGrid w:val="0"/>
                <w:color w:val="000000"/>
                <w:kern w:val="0"/>
                <w:sz w:val="24"/>
                <w:szCs w:val="24"/>
                <w:lang w:val="en-US" w:eastAsia="zh-CN" w:bidi="ar"/>
              </w:rPr>
              <w:t>设备名称</w:t>
            </w:r>
          </w:p>
        </w:tc>
        <w:tc>
          <w:tcPr>
            <w:tcW w:w="1206" w:type="pct"/>
            <w:gridSpan w:val="2"/>
          </w:tcPr>
          <w:p>
            <w:pPr>
              <w:keepNext w:val="0"/>
              <w:keepLines w:val="0"/>
              <w:widowControl/>
              <w:suppressLineNumbers w:val="0"/>
              <w:jc w:val="center"/>
              <w:rPr>
                <w:rFonts w:hint="default"/>
                <w:vertAlign w:val="baseline"/>
                <w:lang w:val="en-US" w:eastAsia="zh-CN"/>
              </w:rPr>
            </w:pPr>
            <w:r>
              <w:rPr>
                <w:rFonts w:hint="eastAsia" w:ascii="宋体" w:hAnsi="宋体" w:eastAsia="宋体" w:cs="宋体"/>
                <w:b/>
                <w:bCs/>
                <w:snapToGrid w:val="0"/>
                <w:color w:val="000000"/>
                <w:kern w:val="0"/>
                <w:sz w:val="24"/>
                <w:szCs w:val="24"/>
                <w:lang w:val="en-US" w:eastAsia="zh-CN" w:bidi="ar"/>
              </w:rPr>
              <w:t>设备配置</w:t>
            </w:r>
          </w:p>
        </w:tc>
        <w:tc>
          <w:tcPr>
            <w:tcW w:w="1094" w:type="pct"/>
          </w:tcPr>
          <w:p>
            <w:pPr>
              <w:keepNext w:val="0"/>
              <w:keepLines w:val="0"/>
              <w:widowControl/>
              <w:suppressLineNumbers w:val="0"/>
              <w:jc w:val="center"/>
              <w:rPr>
                <w:rFonts w:hint="eastAsia"/>
                <w:vertAlign w:val="baseline"/>
                <w:lang w:val="en-US" w:eastAsia="zh-CN"/>
              </w:rPr>
            </w:pPr>
            <w:r>
              <w:rPr>
                <w:rFonts w:hint="eastAsia" w:ascii="宋体" w:hAnsi="宋体" w:eastAsia="宋体" w:cs="宋体"/>
                <w:b/>
                <w:bCs/>
                <w:snapToGrid w:val="0"/>
                <w:color w:val="000000"/>
                <w:kern w:val="0"/>
                <w:sz w:val="24"/>
                <w:szCs w:val="24"/>
                <w:lang w:val="en-US" w:eastAsia="zh-CN" w:bidi="ar"/>
              </w:rPr>
              <w:t>材料规格</w:t>
            </w:r>
          </w:p>
        </w:tc>
        <w:tc>
          <w:tcPr>
            <w:tcW w:w="812" w:type="pct"/>
          </w:tcPr>
          <w:p>
            <w:pPr>
              <w:keepNext w:val="0"/>
              <w:keepLines w:val="0"/>
              <w:widowControl/>
              <w:suppressLineNumbers w:val="0"/>
              <w:jc w:val="center"/>
              <w:rPr>
                <w:rFonts w:hint="eastAsia"/>
                <w:vertAlign w:val="baseline"/>
                <w:lang w:val="en-US" w:eastAsia="zh-CN"/>
              </w:rPr>
            </w:pPr>
            <w:r>
              <w:rPr>
                <w:rFonts w:hint="eastAsia" w:ascii="宋体" w:hAnsi="宋体" w:eastAsia="宋体" w:cs="宋体"/>
                <w:b/>
                <w:bCs/>
                <w:snapToGrid w:val="0"/>
                <w:color w:val="000000"/>
                <w:kern w:val="0"/>
                <w:sz w:val="24"/>
                <w:szCs w:val="24"/>
                <w:lang w:val="en-US" w:eastAsia="zh-CN" w:bidi="ar"/>
              </w:rPr>
              <w:t>材质参数</w:t>
            </w:r>
          </w:p>
        </w:tc>
        <w:tc>
          <w:tcPr>
            <w:tcW w:w="1170" w:type="pct"/>
          </w:tcPr>
          <w:p>
            <w:pPr>
              <w:keepNext w:val="0"/>
              <w:keepLines w:val="0"/>
              <w:widowControl/>
              <w:suppressLineNumbers w:val="0"/>
              <w:jc w:val="center"/>
              <w:rPr>
                <w:rFonts w:hint="eastAsia"/>
                <w:vertAlign w:val="baseline"/>
                <w:lang w:val="en-US" w:eastAsia="zh-CN"/>
              </w:rPr>
            </w:pPr>
            <w:r>
              <w:rPr>
                <w:rFonts w:hint="eastAsia" w:ascii="宋体" w:hAnsi="宋体" w:eastAsia="宋体" w:cs="宋体"/>
                <w:b/>
                <w:bCs/>
                <w:snapToGrid w:val="0"/>
                <w:color w:val="000000"/>
                <w:kern w:val="0"/>
                <w:sz w:val="24"/>
                <w:szCs w:val="24"/>
                <w:lang w:val="en-US" w:eastAsia="zh-CN" w:bidi="ar"/>
              </w:rPr>
              <w:t>采用标准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715" w:type="pct"/>
            <w:vMerge w:val="restart"/>
          </w:tcPr>
          <w:p>
            <w:pPr>
              <w:keepNext w:val="0"/>
              <w:keepLines w:val="0"/>
              <w:widowControl/>
              <w:suppressLineNumbers w:val="0"/>
              <w:jc w:val="center"/>
              <w:rPr>
                <w:rFonts w:hint="eastAsia" w:ascii="宋体" w:hAnsi="宋体" w:eastAsia="宋体" w:cs="宋体"/>
                <w:snapToGrid w:val="0"/>
                <w:color w:val="000000"/>
                <w:kern w:val="0"/>
                <w:sz w:val="13"/>
                <w:szCs w:val="13"/>
                <w:lang w:val="en-US" w:eastAsia="zh-CN" w:bidi="ar"/>
              </w:rPr>
            </w:pPr>
          </w:p>
          <w:p>
            <w:pPr>
              <w:keepNext w:val="0"/>
              <w:keepLines w:val="0"/>
              <w:widowControl/>
              <w:suppressLineNumbers w:val="0"/>
              <w:jc w:val="center"/>
              <w:rPr>
                <w:rFonts w:hint="eastAsia" w:ascii="宋体" w:hAnsi="宋体" w:eastAsia="宋体" w:cs="宋体"/>
                <w:lang w:val="en-US" w:eastAsia="zh-CN"/>
              </w:rPr>
            </w:pPr>
            <w:r>
              <w:rPr>
                <w:rFonts w:hint="eastAsia" w:ascii="宋体" w:hAnsi="宋体" w:eastAsia="宋体" w:cs="宋体"/>
                <w:snapToGrid w:val="0"/>
                <w:color w:val="000000"/>
                <w:kern w:val="0"/>
                <w:sz w:val="21"/>
                <w:szCs w:val="21"/>
                <w:lang w:val="en-US" w:eastAsia="zh-CN" w:bidi="ar"/>
              </w:rPr>
              <w:t>路轨</w:t>
            </w:r>
          </w:p>
        </w:tc>
        <w:tc>
          <w:tcPr>
            <w:tcW w:w="1206" w:type="pct"/>
            <w:gridSpan w:val="2"/>
          </w:tcPr>
          <w:p>
            <w:pPr>
              <w:keepNext w:val="0"/>
              <w:keepLines w:val="0"/>
              <w:widowControl/>
              <w:suppressLineNumbers w:val="0"/>
              <w:jc w:val="center"/>
              <w:rPr>
                <w:rFonts w:hint="eastAsia" w:ascii="宋体" w:hAnsi="宋体" w:eastAsia="宋体" w:cs="宋体"/>
                <w:vertAlign w:val="baseline"/>
                <w:lang w:val="en-US" w:eastAsia="zh-CN"/>
              </w:rPr>
            </w:pPr>
            <w:r>
              <w:rPr>
                <w:rFonts w:hint="eastAsia" w:ascii="宋体" w:hAnsi="宋体" w:eastAsia="宋体" w:cs="宋体"/>
                <w:snapToGrid w:val="0"/>
                <w:color w:val="000000"/>
                <w:kern w:val="0"/>
                <w:sz w:val="21"/>
                <w:szCs w:val="21"/>
                <w:lang w:val="en-US" w:eastAsia="zh-CN" w:bidi="ar"/>
              </w:rPr>
              <w:t>轨道座</w:t>
            </w:r>
          </w:p>
        </w:tc>
        <w:tc>
          <w:tcPr>
            <w:tcW w:w="1094" w:type="pct"/>
          </w:tcPr>
          <w:p>
            <w:pPr>
              <w:keepNext w:val="0"/>
              <w:keepLines w:val="0"/>
              <w:widowControl/>
              <w:suppressLineNumbers w:val="0"/>
              <w:jc w:val="center"/>
              <w:rPr>
                <w:rFonts w:hint="eastAsia" w:ascii="宋体" w:hAnsi="宋体" w:eastAsia="宋体" w:cs="宋体"/>
                <w:vertAlign w:val="baseline"/>
                <w:lang w:val="en-US" w:eastAsia="zh-CN"/>
              </w:rPr>
            </w:pPr>
            <w:r>
              <w:rPr>
                <w:rFonts w:hint="eastAsia" w:ascii="宋体" w:hAnsi="宋体" w:eastAsia="宋体" w:cs="宋体"/>
                <w:snapToGrid w:val="0"/>
                <w:color w:val="000000"/>
                <w:kern w:val="0"/>
                <w:sz w:val="21"/>
                <w:szCs w:val="21"/>
                <w:lang w:val="en-US" w:eastAsia="zh-CN" w:bidi="ar"/>
              </w:rPr>
              <w:t>钢板厚度≥3.0mm</w:t>
            </w:r>
          </w:p>
        </w:tc>
        <w:tc>
          <w:tcPr>
            <w:tcW w:w="812" w:type="pct"/>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不锈钢</w:t>
            </w:r>
          </w:p>
        </w:tc>
        <w:tc>
          <w:tcPr>
            <w:tcW w:w="1170" w:type="pct"/>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r>
              <w:rPr>
                <w:rFonts w:hint="eastAsia" w:ascii="宋体" w:hAnsi="宋体" w:eastAsia="宋体" w:cs="宋体"/>
                <w:snapToGrid w:val="0"/>
                <w:color w:val="000000"/>
                <w:kern w:val="0"/>
                <w:sz w:val="21"/>
                <w:szCs w:val="21"/>
                <w:lang w:val="en-US" w:eastAsia="zh-CN" w:bidi="ar"/>
              </w:rPr>
              <w:t>GB/T711-2008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715" w:type="pct"/>
            <w:vMerge w:val="continue"/>
          </w:tcPr>
          <w:p>
            <w:pPr>
              <w:widowControl w:val="0"/>
              <w:jc w:val="center"/>
              <w:rPr>
                <w:rFonts w:hint="eastAsia" w:ascii="宋体" w:hAnsi="宋体" w:eastAsia="宋体" w:cs="宋体"/>
                <w:vertAlign w:val="baseline"/>
                <w:lang w:val="en-US" w:eastAsia="zh-CN"/>
              </w:rPr>
            </w:pPr>
          </w:p>
        </w:tc>
        <w:tc>
          <w:tcPr>
            <w:tcW w:w="1206" w:type="pct"/>
            <w:gridSpan w:val="2"/>
          </w:tcPr>
          <w:p>
            <w:pPr>
              <w:keepNext w:val="0"/>
              <w:keepLines w:val="0"/>
              <w:widowControl/>
              <w:suppressLineNumbers w:val="0"/>
              <w:jc w:val="center"/>
              <w:rPr>
                <w:rFonts w:hint="eastAsia" w:ascii="宋体" w:hAnsi="宋体" w:eastAsia="宋体" w:cs="宋体"/>
                <w:vertAlign w:val="baseline"/>
                <w:lang w:val="en-US" w:eastAsia="zh-CN"/>
              </w:rPr>
            </w:pPr>
            <w:r>
              <w:rPr>
                <w:rFonts w:hint="eastAsia" w:ascii="宋体" w:hAnsi="宋体" w:eastAsia="宋体" w:cs="宋体"/>
                <w:snapToGrid w:val="0"/>
                <w:color w:val="000000"/>
                <w:kern w:val="0"/>
                <w:sz w:val="21"/>
                <w:szCs w:val="21"/>
                <w:lang w:val="en-US" w:eastAsia="zh-CN" w:bidi="ar"/>
              </w:rPr>
              <w:t>轨芯</w:t>
            </w:r>
          </w:p>
        </w:tc>
        <w:tc>
          <w:tcPr>
            <w:tcW w:w="1094" w:type="pct"/>
          </w:tcPr>
          <w:p>
            <w:pPr>
              <w:keepNext w:val="0"/>
              <w:keepLines w:val="0"/>
              <w:widowControl/>
              <w:suppressLineNumbers w:val="0"/>
              <w:jc w:val="center"/>
              <w:rPr>
                <w:rFonts w:hint="eastAsia" w:ascii="宋体" w:hAnsi="宋体" w:eastAsia="宋体" w:cs="宋体"/>
                <w:vertAlign w:val="baseline"/>
                <w:lang w:val="en-US" w:eastAsia="zh-CN"/>
              </w:rPr>
            </w:pPr>
            <w:r>
              <w:rPr>
                <w:rFonts w:hint="eastAsia" w:ascii="宋体" w:hAnsi="宋体" w:eastAsia="宋体" w:cs="宋体"/>
                <w:snapToGrid w:val="0"/>
                <w:color w:val="000000"/>
                <w:kern w:val="0"/>
                <w:sz w:val="21"/>
                <w:szCs w:val="21"/>
                <w:lang w:val="en-US" w:eastAsia="zh-CN" w:bidi="ar"/>
              </w:rPr>
              <w:t>20±1mm×20±1mm</w:t>
            </w:r>
          </w:p>
        </w:tc>
        <w:tc>
          <w:tcPr>
            <w:tcW w:w="812"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实心不锈钢</w:t>
            </w:r>
          </w:p>
        </w:tc>
        <w:tc>
          <w:tcPr>
            <w:tcW w:w="1170"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GB/T699-2015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restart"/>
          </w:tcPr>
          <w:p>
            <w:pPr>
              <w:widowControl w:val="0"/>
              <w:jc w:val="center"/>
              <w:rPr>
                <w:rFonts w:hint="eastAsia" w:ascii="宋体" w:hAnsi="宋体" w:eastAsia="宋体" w:cs="宋体"/>
                <w:lang w:val="en-US" w:eastAsia="zh-CN"/>
              </w:rPr>
            </w:pPr>
            <w:r>
              <w:rPr>
                <w:rFonts w:hint="eastAsia" w:ascii="宋体" w:hAnsi="宋体" w:eastAsia="宋体" w:cs="宋体"/>
                <w:vertAlign w:val="baseline"/>
                <w:lang w:val="en-US" w:eastAsia="zh-CN"/>
              </w:rPr>
              <w:t>底架</w:t>
            </w:r>
          </w:p>
        </w:tc>
        <w:tc>
          <w:tcPr>
            <w:tcW w:w="1206" w:type="pct"/>
            <w:gridSpan w:val="2"/>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底梁</w:t>
            </w:r>
          </w:p>
        </w:tc>
        <w:tc>
          <w:tcPr>
            <w:tcW w:w="1094" w:type="pct"/>
            <w:vMerge w:val="restart"/>
          </w:tcPr>
          <w:p>
            <w:pPr>
              <w:widowControl w:val="0"/>
              <w:jc w:val="center"/>
              <w:rPr>
                <w:rFonts w:hint="eastAsia" w:ascii="宋体" w:hAnsi="宋体" w:eastAsia="宋体" w:cs="宋体"/>
                <w:vertAlign w:val="baseline"/>
                <w:lang w:val="en-US" w:eastAsia="zh-CN"/>
              </w:rPr>
            </w:pPr>
          </w:p>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钢板厚度≥2.8mm</w:t>
            </w:r>
          </w:p>
          <w:p>
            <w:pPr>
              <w:widowControl w:val="0"/>
              <w:jc w:val="center"/>
              <w:rPr>
                <w:rFonts w:hint="eastAsia" w:ascii="宋体" w:hAnsi="宋体" w:eastAsia="宋体" w:cs="宋体"/>
                <w:vertAlign w:val="baseline"/>
                <w:lang w:val="en-US" w:eastAsia="zh-CN"/>
              </w:rPr>
            </w:pPr>
          </w:p>
        </w:tc>
        <w:tc>
          <w:tcPr>
            <w:tcW w:w="812" w:type="pct"/>
            <w:vMerge w:val="restart"/>
          </w:tcPr>
          <w:p>
            <w:pPr>
              <w:widowControl w:val="0"/>
              <w:jc w:val="center"/>
              <w:rPr>
                <w:rFonts w:hint="eastAsia" w:ascii="宋体" w:hAnsi="宋体" w:eastAsia="宋体" w:cs="宋体"/>
                <w:vertAlign w:val="baseline"/>
                <w:lang w:val="en-US" w:eastAsia="zh-CN"/>
              </w:rPr>
            </w:pPr>
          </w:p>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热轧钢板</w:t>
            </w:r>
          </w:p>
          <w:p>
            <w:pPr>
              <w:widowControl w:val="0"/>
              <w:jc w:val="center"/>
              <w:rPr>
                <w:rFonts w:hint="eastAsia" w:ascii="宋体" w:hAnsi="宋体" w:eastAsia="宋体" w:cs="宋体"/>
                <w:vertAlign w:val="baseline"/>
                <w:lang w:val="en-US" w:eastAsia="zh-CN"/>
              </w:rPr>
            </w:pPr>
          </w:p>
        </w:tc>
        <w:tc>
          <w:tcPr>
            <w:tcW w:w="1170" w:type="pct"/>
            <w:vMerge w:val="restart"/>
          </w:tcPr>
          <w:p>
            <w:pPr>
              <w:widowControl w:val="0"/>
              <w:ind w:firstLine="210" w:firstLineChars="100"/>
              <w:jc w:val="center"/>
              <w:rPr>
                <w:rFonts w:hint="eastAsia" w:ascii="宋体" w:hAnsi="宋体" w:eastAsia="宋体" w:cs="宋体"/>
                <w:vertAlign w:val="baseline"/>
                <w:lang w:val="en-US" w:eastAsia="zh-CN"/>
              </w:rPr>
            </w:pPr>
          </w:p>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GB/T711-2008</w:t>
            </w:r>
          </w:p>
          <w:p>
            <w:pPr>
              <w:widowControl w:val="0"/>
              <w:jc w:val="center"/>
              <w:rPr>
                <w:rFonts w:hint="eastAsia"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continue"/>
          </w:tcPr>
          <w:p>
            <w:pPr>
              <w:widowControl w:val="0"/>
              <w:jc w:val="center"/>
              <w:rPr>
                <w:rFonts w:hint="eastAsia" w:ascii="宋体" w:hAnsi="宋体" w:eastAsia="宋体" w:cs="宋体"/>
                <w:vertAlign w:val="baseline"/>
                <w:lang w:val="en-US" w:eastAsia="zh-CN"/>
              </w:rPr>
            </w:pPr>
          </w:p>
        </w:tc>
        <w:tc>
          <w:tcPr>
            <w:tcW w:w="1206" w:type="pct"/>
            <w:gridSpan w:val="2"/>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夹紧块</w:t>
            </w:r>
          </w:p>
        </w:tc>
        <w:tc>
          <w:tcPr>
            <w:tcW w:w="1094" w:type="pct"/>
            <w:vMerge w:val="continue"/>
          </w:tcPr>
          <w:p>
            <w:pPr>
              <w:widowControl w:val="0"/>
              <w:jc w:val="center"/>
              <w:rPr>
                <w:rFonts w:hint="eastAsia" w:ascii="宋体" w:hAnsi="宋体" w:eastAsia="宋体" w:cs="宋体"/>
                <w:vertAlign w:val="baseline"/>
                <w:lang w:val="en-US" w:eastAsia="zh-CN"/>
              </w:rPr>
            </w:pPr>
          </w:p>
        </w:tc>
        <w:tc>
          <w:tcPr>
            <w:tcW w:w="812" w:type="pct"/>
            <w:vMerge w:val="continue"/>
          </w:tcPr>
          <w:p>
            <w:pPr>
              <w:widowControl w:val="0"/>
              <w:jc w:val="center"/>
              <w:rPr>
                <w:rFonts w:hint="eastAsia" w:ascii="宋体" w:hAnsi="宋体" w:eastAsia="宋体" w:cs="宋体"/>
                <w:vertAlign w:val="baseline"/>
                <w:lang w:val="en-US" w:eastAsia="zh-CN"/>
              </w:rPr>
            </w:pPr>
          </w:p>
        </w:tc>
        <w:tc>
          <w:tcPr>
            <w:tcW w:w="1170" w:type="pct"/>
            <w:vMerge w:val="continue"/>
          </w:tcPr>
          <w:p>
            <w:pPr>
              <w:widowControl w:val="0"/>
              <w:jc w:val="center"/>
              <w:rPr>
                <w:rFonts w:hint="eastAsia"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continue"/>
          </w:tcPr>
          <w:p>
            <w:pPr>
              <w:widowControl w:val="0"/>
              <w:jc w:val="center"/>
              <w:rPr>
                <w:rFonts w:hint="eastAsia" w:ascii="宋体" w:hAnsi="宋体" w:eastAsia="宋体" w:cs="宋体"/>
                <w:vertAlign w:val="baseline"/>
                <w:lang w:val="en-US" w:eastAsia="zh-CN"/>
              </w:rPr>
            </w:pPr>
          </w:p>
        </w:tc>
        <w:tc>
          <w:tcPr>
            <w:tcW w:w="1206" w:type="pct"/>
            <w:gridSpan w:val="2"/>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轴承档</w:t>
            </w:r>
          </w:p>
        </w:tc>
        <w:tc>
          <w:tcPr>
            <w:tcW w:w="1094" w:type="pct"/>
            <w:vMerge w:val="continue"/>
          </w:tcPr>
          <w:p>
            <w:pPr>
              <w:widowControl w:val="0"/>
              <w:jc w:val="center"/>
              <w:rPr>
                <w:rFonts w:hint="eastAsia" w:ascii="宋体" w:hAnsi="宋体" w:eastAsia="宋体" w:cs="宋体"/>
                <w:vertAlign w:val="baseline"/>
                <w:lang w:val="en-US" w:eastAsia="zh-CN"/>
              </w:rPr>
            </w:pPr>
          </w:p>
        </w:tc>
        <w:tc>
          <w:tcPr>
            <w:tcW w:w="812" w:type="pct"/>
            <w:vMerge w:val="continue"/>
          </w:tcPr>
          <w:p>
            <w:pPr>
              <w:widowControl w:val="0"/>
              <w:jc w:val="center"/>
              <w:rPr>
                <w:rFonts w:hint="eastAsia" w:ascii="宋体" w:hAnsi="宋体" w:eastAsia="宋体" w:cs="宋体"/>
                <w:vertAlign w:val="baseline"/>
                <w:lang w:val="en-US" w:eastAsia="zh-CN"/>
              </w:rPr>
            </w:pPr>
          </w:p>
        </w:tc>
        <w:tc>
          <w:tcPr>
            <w:tcW w:w="1170" w:type="pct"/>
            <w:vMerge w:val="continue"/>
          </w:tcPr>
          <w:p>
            <w:pPr>
              <w:widowControl w:val="0"/>
              <w:jc w:val="center"/>
              <w:rPr>
                <w:rFonts w:hint="eastAsia" w:ascii="宋体" w:hAnsi="宋体" w:eastAsia="宋体" w:cs="宋体"/>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restart"/>
          </w:tcPr>
          <w:p>
            <w:pPr>
              <w:widowControl w:val="0"/>
              <w:jc w:val="center"/>
              <w:rPr>
                <w:rFonts w:hint="eastAsia" w:ascii="宋体" w:hAnsi="宋体" w:eastAsia="宋体" w:cs="宋体"/>
                <w:vertAlign w:val="baseline"/>
                <w:lang w:val="en-US" w:eastAsia="zh-CN"/>
              </w:rPr>
            </w:pPr>
          </w:p>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架体</w:t>
            </w:r>
          </w:p>
        </w:tc>
        <w:tc>
          <w:tcPr>
            <w:tcW w:w="1206" w:type="pct"/>
            <w:gridSpan w:val="2"/>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立柱</w:t>
            </w:r>
          </w:p>
        </w:tc>
        <w:tc>
          <w:tcPr>
            <w:tcW w:w="1094"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钢板厚度≥1.5mm</w:t>
            </w:r>
          </w:p>
        </w:tc>
        <w:tc>
          <w:tcPr>
            <w:tcW w:w="812"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冷轧钢板</w:t>
            </w:r>
          </w:p>
        </w:tc>
        <w:tc>
          <w:tcPr>
            <w:tcW w:w="1170"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GB710-2008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continue"/>
          </w:tcPr>
          <w:p>
            <w:pPr>
              <w:widowControl w:val="0"/>
              <w:jc w:val="center"/>
              <w:rPr>
                <w:rFonts w:hint="eastAsia" w:ascii="宋体" w:hAnsi="宋体" w:eastAsia="宋体" w:cs="宋体"/>
                <w:vertAlign w:val="baseline"/>
                <w:lang w:val="en-US" w:eastAsia="zh-CN"/>
              </w:rPr>
            </w:pPr>
          </w:p>
        </w:tc>
        <w:tc>
          <w:tcPr>
            <w:tcW w:w="1206" w:type="pct"/>
            <w:gridSpan w:val="2"/>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压筋搁板</w:t>
            </w:r>
          </w:p>
        </w:tc>
        <w:tc>
          <w:tcPr>
            <w:tcW w:w="1094"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钢板厚度≥1.2mm</w:t>
            </w:r>
          </w:p>
        </w:tc>
        <w:tc>
          <w:tcPr>
            <w:tcW w:w="812"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冷轧钢板</w:t>
            </w:r>
          </w:p>
        </w:tc>
        <w:tc>
          <w:tcPr>
            <w:tcW w:w="1170"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GB710-2008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continue"/>
          </w:tcPr>
          <w:p>
            <w:pPr>
              <w:widowControl w:val="0"/>
              <w:jc w:val="center"/>
              <w:rPr>
                <w:rFonts w:hint="eastAsia" w:ascii="宋体" w:hAnsi="宋体" w:eastAsia="宋体" w:cs="宋体"/>
                <w:vertAlign w:val="baseline"/>
                <w:lang w:val="en-US" w:eastAsia="zh-CN"/>
              </w:rPr>
            </w:pPr>
          </w:p>
        </w:tc>
        <w:tc>
          <w:tcPr>
            <w:tcW w:w="1206" w:type="pct"/>
            <w:gridSpan w:val="2"/>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压筋挂板</w:t>
            </w:r>
          </w:p>
        </w:tc>
        <w:tc>
          <w:tcPr>
            <w:tcW w:w="1094"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钢板厚度≥1.2mm</w:t>
            </w:r>
          </w:p>
        </w:tc>
        <w:tc>
          <w:tcPr>
            <w:tcW w:w="812"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冷轧钢板</w:t>
            </w:r>
          </w:p>
        </w:tc>
        <w:tc>
          <w:tcPr>
            <w:tcW w:w="1170"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GB710-2008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restart"/>
          </w:tcPr>
          <w:p>
            <w:pPr>
              <w:widowControl w:val="0"/>
              <w:jc w:val="center"/>
              <w:rPr>
                <w:rFonts w:hint="eastAsia" w:ascii="宋体" w:hAnsi="宋体" w:eastAsia="宋体" w:cs="宋体"/>
                <w:vertAlign w:val="baseline"/>
                <w:lang w:val="en-US" w:eastAsia="zh-CN"/>
              </w:rPr>
            </w:pPr>
          </w:p>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门面</w:t>
            </w:r>
          </w:p>
        </w:tc>
        <w:tc>
          <w:tcPr>
            <w:tcW w:w="1206" w:type="pct"/>
            <w:gridSpan w:val="2"/>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防尘板、顶板</w:t>
            </w:r>
          </w:p>
        </w:tc>
        <w:tc>
          <w:tcPr>
            <w:tcW w:w="1094"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钢板厚度≥1.0mm</w:t>
            </w:r>
          </w:p>
        </w:tc>
        <w:tc>
          <w:tcPr>
            <w:tcW w:w="812"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冷轧钢板</w:t>
            </w:r>
          </w:p>
        </w:tc>
        <w:tc>
          <w:tcPr>
            <w:tcW w:w="1170"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GB710-2008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15" w:type="pct"/>
            <w:vMerge w:val="continue"/>
          </w:tcPr>
          <w:p>
            <w:pPr>
              <w:widowControl w:val="0"/>
              <w:jc w:val="center"/>
              <w:rPr>
                <w:rFonts w:hint="eastAsia" w:ascii="宋体" w:hAnsi="宋体" w:eastAsia="宋体" w:cs="宋体"/>
                <w:vertAlign w:val="baseline"/>
                <w:lang w:val="en-US" w:eastAsia="zh-CN"/>
              </w:rPr>
            </w:pPr>
          </w:p>
        </w:tc>
        <w:tc>
          <w:tcPr>
            <w:tcW w:w="1206" w:type="pct"/>
            <w:gridSpan w:val="2"/>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防鼠板</w:t>
            </w:r>
          </w:p>
        </w:tc>
        <w:tc>
          <w:tcPr>
            <w:tcW w:w="1094"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钢板厚度≥1.0mm</w:t>
            </w:r>
          </w:p>
        </w:tc>
        <w:tc>
          <w:tcPr>
            <w:tcW w:w="812"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冷轧钢板</w:t>
            </w:r>
          </w:p>
        </w:tc>
        <w:tc>
          <w:tcPr>
            <w:tcW w:w="1170"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GB710-2008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715" w:type="pct"/>
            <w:vMerge w:val="continue"/>
          </w:tcPr>
          <w:p>
            <w:pPr>
              <w:widowControl w:val="0"/>
              <w:jc w:val="center"/>
              <w:rPr>
                <w:rFonts w:hint="eastAsia" w:ascii="宋体" w:hAnsi="宋体" w:eastAsia="宋体" w:cs="宋体"/>
                <w:vertAlign w:val="baseline"/>
                <w:lang w:val="en-US" w:eastAsia="zh-CN"/>
              </w:rPr>
            </w:pPr>
          </w:p>
        </w:tc>
        <w:tc>
          <w:tcPr>
            <w:tcW w:w="1206" w:type="pct"/>
            <w:gridSpan w:val="2"/>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定位模块</w:t>
            </w:r>
          </w:p>
        </w:tc>
        <w:tc>
          <w:tcPr>
            <w:tcW w:w="1094"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w:t>
            </w:r>
          </w:p>
        </w:tc>
        <w:tc>
          <w:tcPr>
            <w:tcW w:w="812"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ABS注塑件</w:t>
            </w:r>
          </w:p>
        </w:tc>
        <w:tc>
          <w:tcPr>
            <w:tcW w:w="1170"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GB710-2008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侧板</w:t>
            </w:r>
          </w:p>
        </w:tc>
        <w:tc>
          <w:tcPr>
            <w:tcW w:w="1206" w:type="pct"/>
            <w:gridSpan w:val="2"/>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侧面板</w:t>
            </w:r>
          </w:p>
        </w:tc>
        <w:tc>
          <w:tcPr>
            <w:tcW w:w="1094"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钢板厚度≥1.0mm</w:t>
            </w:r>
          </w:p>
        </w:tc>
        <w:tc>
          <w:tcPr>
            <w:tcW w:w="812"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冷轧钢板</w:t>
            </w:r>
          </w:p>
        </w:tc>
        <w:tc>
          <w:tcPr>
            <w:tcW w:w="1170"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GB710-2008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restart"/>
          </w:tcPr>
          <w:p>
            <w:pPr>
              <w:widowControl w:val="0"/>
              <w:jc w:val="center"/>
              <w:rPr>
                <w:rFonts w:hint="eastAsia" w:ascii="宋体" w:hAnsi="宋体" w:eastAsia="宋体" w:cs="宋体"/>
                <w:vertAlign w:val="baseline"/>
                <w:lang w:val="en-US" w:eastAsia="zh-CN"/>
              </w:rPr>
            </w:pPr>
          </w:p>
          <w:p>
            <w:pPr>
              <w:widowControl w:val="0"/>
              <w:jc w:val="center"/>
              <w:rPr>
                <w:rFonts w:hint="eastAsia" w:ascii="宋体" w:hAnsi="宋体" w:eastAsia="宋体" w:cs="宋体"/>
                <w:vertAlign w:val="baseline"/>
                <w:lang w:val="en-US" w:eastAsia="zh-CN"/>
              </w:rPr>
            </w:pPr>
          </w:p>
          <w:p>
            <w:pPr>
              <w:widowControl w:val="0"/>
              <w:jc w:val="center"/>
              <w:rPr>
                <w:rFonts w:hint="eastAsia" w:ascii="宋体" w:hAnsi="宋体" w:eastAsia="宋体" w:cs="宋体"/>
                <w:vertAlign w:val="baseline"/>
                <w:lang w:val="en-US" w:eastAsia="zh-CN"/>
              </w:rPr>
            </w:pPr>
          </w:p>
          <w:p>
            <w:pPr>
              <w:widowControl w:val="0"/>
              <w:jc w:val="center"/>
              <w:rPr>
                <w:rFonts w:hint="eastAsia" w:ascii="宋体" w:hAnsi="宋体" w:eastAsia="宋体" w:cs="宋体"/>
                <w:vertAlign w:val="baseline"/>
                <w:lang w:val="en-US" w:eastAsia="zh-CN"/>
              </w:rPr>
            </w:pPr>
          </w:p>
          <w:p>
            <w:pPr>
              <w:widowControl w:val="0"/>
              <w:jc w:val="center"/>
              <w:rPr>
                <w:rFonts w:hint="eastAsia" w:ascii="宋体" w:hAnsi="宋体" w:eastAsia="宋体" w:cs="宋体"/>
                <w:vertAlign w:val="baseline"/>
                <w:lang w:val="en-US" w:eastAsia="zh-CN"/>
              </w:rPr>
            </w:pPr>
          </w:p>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传动机构</w:t>
            </w:r>
          </w:p>
        </w:tc>
        <w:tc>
          <w:tcPr>
            <w:tcW w:w="1206" w:type="pct"/>
            <w:gridSpan w:val="2"/>
          </w:tcPr>
          <w:p>
            <w:pPr>
              <w:widowControl w:val="0"/>
              <w:jc w:val="center"/>
              <w:rPr>
                <w:rFonts w:hint="eastAsia" w:ascii="宋体" w:hAnsi="宋体" w:eastAsia="宋体" w:cs="宋体"/>
                <w:sz w:val="10"/>
                <w:szCs w:val="10"/>
                <w:vertAlign w:val="baseline"/>
                <w:lang w:val="en-US" w:eastAsia="zh-CN"/>
              </w:rPr>
            </w:pPr>
          </w:p>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轴承</w:t>
            </w:r>
          </w:p>
        </w:tc>
        <w:tc>
          <w:tcPr>
            <w:tcW w:w="1094" w:type="pct"/>
          </w:tcPr>
          <w:p>
            <w:pPr>
              <w:widowControl w:val="0"/>
              <w:jc w:val="center"/>
              <w:rPr>
                <w:rFonts w:hint="eastAsia" w:ascii="宋体" w:hAnsi="宋体" w:eastAsia="宋体" w:cs="宋体"/>
                <w:sz w:val="11"/>
                <w:szCs w:val="11"/>
                <w:vertAlign w:val="baseline"/>
                <w:lang w:val="en-US" w:eastAsia="zh-CN"/>
              </w:rPr>
            </w:pPr>
          </w:p>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P204</w:t>
            </w:r>
          </w:p>
        </w:tc>
        <w:tc>
          <w:tcPr>
            <w:tcW w:w="812" w:type="pct"/>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双排滚珠调心轴承</w:t>
            </w:r>
          </w:p>
        </w:tc>
        <w:tc>
          <w:tcPr>
            <w:tcW w:w="1170" w:type="pct"/>
          </w:tcPr>
          <w:p>
            <w:pPr>
              <w:keepNext w:val="0"/>
              <w:keepLines w:val="0"/>
              <w:widowControl/>
              <w:suppressLineNumbers w:val="0"/>
              <w:jc w:val="center"/>
              <w:rPr>
                <w:rFonts w:hint="eastAsia" w:ascii="宋体" w:hAnsi="宋体" w:eastAsia="宋体" w:cs="宋体"/>
                <w:snapToGrid w:val="0"/>
                <w:color w:val="000000"/>
                <w:kern w:val="0"/>
                <w:sz w:val="11"/>
                <w:szCs w:val="11"/>
                <w:lang w:val="en-US" w:eastAsia="zh-CN" w:bidi="ar"/>
              </w:rPr>
            </w:pPr>
          </w:p>
          <w:p>
            <w:pPr>
              <w:keepNext w:val="0"/>
              <w:keepLines w:val="0"/>
              <w:widowControl/>
              <w:suppressLineNumbers w:val="0"/>
              <w:jc w:val="center"/>
              <w:rPr>
                <w:rFonts w:hint="eastAsia" w:ascii="宋体" w:hAnsi="宋体" w:eastAsia="宋体" w:cs="宋体"/>
                <w:vertAlign w:val="baseline"/>
                <w:lang w:val="en-US" w:eastAsia="zh-CN"/>
              </w:rPr>
            </w:pPr>
            <w:r>
              <w:rPr>
                <w:rFonts w:hint="eastAsia" w:ascii="宋体" w:hAnsi="宋体" w:eastAsia="宋体" w:cs="宋体"/>
                <w:snapToGrid w:val="0"/>
                <w:color w:val="000000"/>
                <w:kern w:val="0"/>
                <w:sz w:val="21"/>
                <w:szCs w:val="21"/>
                <w:lang w:val="en-US" w:eastAsia="zh-CN" w:bidi="ar"/>
              </w:rPr>
              <w:t>GB1285-85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715" w:type="pct"/>
            <w:vMerge w:val="continue"/>
          </w:tcPr>
          <w:p>
            <w:pPr>
              <w:widowControl w:val="0"/>
              <w:jc w:val="center"/>
              <w:rPr>
                <w:rFonts w:hint="eastAsia" w:ascii="宋体" w:hAnsi="宋体" w:eastAsia="宋体" w:cs="宋体"/>
                <w:vertAlign w:val="baseline"/>
                <w:lang w:val="en-US" w:eastAsia="zh-CN"/>
              </w:rPr>
            </w:pPr>
          </w:p>
        </w:tc>
        <w:tc>
          <w:tcPr>
            <w:tcW w:w="1206" w:type="pct"/>
            <w:gridSpan w:val="2"/>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传动轴</w:t>
            </w:r>
          </w:p>
        </w:tc>
        <w:tc>
          <w:tcPr>
            <w:tcW w:w="1094"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Φ20</w:t>
            </w:r>
          </w:p>
        </w:tc>
        <w:tc>
          <w:tcPr>
            <w:tcW w:w="812" w:type="pct"/>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45#冷拉圆钢</w:t>
            </w:r>
          </w:p>
        </w:tc>
        <w:tc>
          <w:tcPr>
            <w:tcW w:w="1170" w:type="pct"/>
          </w:tcPr>
          <w:p>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GB/T699-2015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continue"/>
          </w:tcPr>
          <w:p>
            <w:pPr>
              <w:widowControl w:val="0"/>
              <w:jc w:val="center"/>
              <w:rPr>
                <w:rFonts w:hint="eastAsia" w:ascii="宋体" w:hAnsi="宋体" w:eastAsia="宋体" w:cs="宋体"/>
                <w:vertAlign w:val="baseline"/>
                <w:lang w:val="en-US" w:eastAsia="zh-CN"/>
              </w:rPr>
            </w:pPr>
          </w:p>
        </w:tc>
        <w:tc>
          <w:tcPr>
            <w:tcW w:w="1206" w:type="pct"/>
            <w:gridSpan w:val="2"/>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连接钢管</w:t>
            </w:r>
          </w:p>
        </w:tc>
        <w:tc>
          <w:tcPr>
            <w:tcW w:w="1094" w:type="pct"/>
          </w:tcPr>
          <w:p>
            <w:pPr>
              <w:widowControl w:val="0"/>
              <w:jc w:val="cente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Φ25</w:t>
            </w:r>
          </w:p>
        </w:tc>
        <w:tc>
          <w:tcPr>
            <w:tcW w:w="812" w:type="pct"/>
          </w:tcPr>
          <w:p>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无缝钢管</w:t>
            </w:r>
          </w:p>
        </w:tc>
        <w:tc>
          <w:tcPr>
            <w:tcW w:w="1170" w:type="pct"/>
          </w:tcPr>
          <w:p>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GBT/699-2015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715" w:type="pct"/>
            <w:vMerge w:val="continue"/>
          </w:tcPr>
          <w:p>
            <w:pPr>
              <w:widowControl w:val="0"/>
              <w:jc w:val="center"/>
              <w:rPr>
                <w:rFonts w:hint="eastAsia" w:ascii="宋体" w:hAnsi="宋体" w:eastAsia="宋体" w:cs="宋体"/>
                <w:vertAlign w:val="baseline"/>
                <w:lang w:val="en-US" w:eastAsia="zh-CN"/>
              </w:rPr>
            </w:pPr>
          </w:p>
        </w:tc>
        <w:tc>
          <w:tcPr>
            <w:tcW w:w="1206" w:type="pct"/>
            <w:gridSpan w:val="2"/>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铁滚轮</w:t>
            </w:r>
          </w:p>
        </w:tc>
        <w:tc>
          <w:tcPr>
            <w:tcW w:w="1094" w:type="pct"/>
          </w:tcPr>
          <w:p>
            <w:pPr>
              <w:keepNext w:val="0"/>
              <w:keepLines w:val="0"/>
              <w:widowControl/>
              <w:suppressLineNumbers w:val="0"/>
              <w:jc w:val="center"/>
              <w:rPr>
                <w:rFonts w:hint="eastAsia" w:ascii="宋体" w:hAnsi="宋体" w:eastAsia="宋体" w:cs="宋体"/>
                <w:vertAlign w:val="baseline"/>
                <w:lang w:val="en-US" w:eastAsia="zh-CN"/>
              </w:rPr>
            </w:pPr>
            <w:r>
              <w:rPr>
                <w:rFonts w:hint="eastAsia" w:ascii="宋体" w:hAnsi="宋体" w:eastAsia="宋体" w:cs="宋体"/>
                <w:snapToGrid w:val="0"/>
                <w:color w:val="000000"/>
                <w:kern w:val="0"/>
                <w:sz w:val="21"/>
                <w:szCs w:val="21"/>
                <w:lang w:val="en-US" w:eastAsia="zh-CN" w:bidi="ar"/>
              </w:rPr>
              <w:t>HT15-33</w:t>
            </w:r>
          </w:p>
        </w:tc>
        <w:tc>
          <w:tcPr>
            <w:tcW w:w="812" w:type="pct"/>
          </w:tcPr>
          <w:p>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高强铸铁</w:t>
            </w:r>
          </w:p>
        </w:tc>
        <w:tc>
          <w:tcPr>
            <w:tcW w:w="1170" w:type="pct"/>
          </w:tcPr>
          <w:p>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GB9439-2010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continue"/>
          </w:tcPr>
          <w:p>
            <w:pPr>
              <w:widowControl w:val="0"/>
              <w:jc w:val="center"/>
              <w:rPr>
                <w:rFonts w:hint="eastAsia" w:ascii="宋体" w:hAnsi="宋体" w:eastAsia="宋体" w:cs="宋体"/>
                <w:vertAlign w:val="baseline"/>
                <w:lang w:val="en-US" w:eastAsia="zh-CN"/>
              </w:rPr>
            </w:pPr>
          </w:p>
        </w:tc>
        <w:tc>
          <w:tcPr>
            <w:tcW w:w="1206" w:type="pct"/>
            <w:gridSpan w:val="2"/>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链轮</w:t>
            </w:r>
          </w:p>
        </w:tc>
        <w:tc>
          <w:tcPr>
            <w:tcW w:w="1094" w:type="pct"/>
          </w:tcPr>
          <w:p>
            <w:pPr>
              <w:keepNext w:val="0"/>
              <w:keepLines w:val="0"/>
              <w:widowControl/>
              <w:suppressLineNumbers w:val="0"/>
              <w:jc w:val="center"/>
              <w:rPr>
                <w:rFonts w:hint="eastAsia" w:ascii="宋体" w:hAnsi="宋体" w:eastAsia="宋体" w:cs="宋体"/>
                <w:vertAlign w:val="baseline"/>
                <w:lang w:val="en-US" w:eastAsia="zh-CN"/>
              </w:rPr>
            </w:pPr>
            <w:r>
              <w:rPr>
                <w:rFonts w:hint="eastAsia" w:ascii="宋体" w:hAnsi="宋体" w:eastAsia="宋体" w:cs="宋体"/>
                <w:snapToGrid w:val="0"/>
                <w:color w:val="000000"/>
                <w:kern w:val="0"/>
                <w:sz w:val="21"/>
                <w:szCs w:val="21"/>
                <w:lang w:val="en-US" w:eastAsia="zh-CN" w:bidi="ar"/>
              </w:rPr>
              <w:t>ZG45</w:t>
            </w:r>
          </w:p>
        </w:tc>
        <w:tc>
          <w:tcPr>
            <w:tcW w:w="812" w:type="pct"/>
          </w:tcPr>
          <w:p>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滚齿精制</w:t>
            </w:r>
          </w:p>
        </w:tc>
        <w:tc>
          <w:tcPr>
            <w:tcW w:w="1170" w:type="pct"/>
          </w:tcPr>
          <w:p>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GB1135-89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5" w:type="pct"/>
            <w:vMerge w:val="continue"/>
          </w:tcPr>
          <w:p>
            <w:pPr>
              <w:widowControl w:val="0"/>
              <w:jc w:val="center"/>
              <w:rPr>
                <w:rFonts w:hint="eastAsia" w:ascii="宋体" w:hAnsi="宋体" w:eastAsia="宋体" w:cs="宋体"/>
                <w:vertAlign w:val="baseline"/>
                <w:lang w:val="en-US" w:eastAsia="zh-CN"/>
              </w:rPr>
            </w:pPr>
          </w:p>
        </w:tc>
        <w:tc>
          <w:tcPr>
            <w:tcW w:w="1206" w:type="pct"/>
            <w:gridSpan w:val="2"/>
          </w:tcPr>
          <w:p>
            <w:pPr>
              <w:widowControl w:val="0"/>
              <w:jc w:val="center"/>
              <w:rPr>
                <w:rFonts w:hint="eastAsia" w:ascii="宋体" w:hAnsi="宋体" w:eastAsia="宋体" w:cs="宋体"/>
                <w:sz w:val="10"/>
                <w:szCs w:val="10"/>
                <w:vertAlign w:val="baseline"/>
                <w:lang w:val="en-US" w:eastAsia="zh-CN"/>
              </w:rPr>
            </w:pPr>
          </w:p>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链条</w:t>
            </w:r>
          </w:p>
        </w:tc>
        <w:tc>
          <w:tcPr>
            <w:tcW w:w="1094" w:type="pct"/>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FR420，Φ8.5</w:t>
            </w:r>
          </w:p>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节距12.7</w:t>
            </w:r>
          </w:p>
        </w:tc>
        <w:tc>
          <w:tcPr>
            <w:tcW w:w="812" w:type="pct"/>
          </w:tcPr>
          <w:p>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napToGrid w:val="0"/>
                <w:color w:val="000000"/>
                <w:kern w:val="0"/>
                <w:sz w:val="21"/>
                <w:szCs w:val="21"/>
                <w:lang w:val="en-US" w:eastAsia="zh-CN" w:bidi="ar"/>
              </w:rPr>
              <w:t>40Mn-45Mn</w:t>
            </w:r>
          </w:p>
          <w:p>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合金钢</w:t>
            </w:r>
          </w:p>
        </w:tc>
        <w:tc>
          <w:tcPr>
            <w:tcW w:w="1170" w:type="pct"/>
          </w:tcPr>
          <w:p>
            <w:pPr>
              <w:keepNext w:val="0"/>
              <w:keepLines w:val="0"/>
              <w:widowControl/>
              <w:suppressLineNumbers w:val="0"/>
              <w:jc w:val="center"/>
              <w:rPr>
                <w:rFonts w:hint="eastAsia" w:ascii="宋体" w:hAnsi="宋体" w:eastAsia="宋体" w:cs="宋体"/>
                <w:snapToGrid w:val="0"/>
                <w:color w:val="000000"/>
                <w:kern w:val="0"/>
                <w:sz w:val="11"/>
                <w:szCs w:val="11"/>
                <w:lang w:val="en-US" w:eastAsia="zh-CN" w:bidi="ar"/>
              </w:rPr>
            </w:pPr>
          </w:p>
          <w:p>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GB/T14212-2010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715" w:type="pct"/>
            <w:vMerge w:val="continue"/>
          </w:tcPr>
          <w:p>
            <w:pPr>
              <w:widowControl w:val="0"/>
              <w:jc w:val="center"/>
              <w:rPr>
                <w:rFonts w:hint="eastAsia" w:ascii="宋体" w:hAnsi="宋体" w:eastAsia="宋体" w:cs="宋体"/>
                <w:vertAlign w:val="baseline"/>
                <w:lang w:val="en-US" w:eastAsia="zh-CN"/>
              </w:rPr>
            </w:pPr>
          </w:p>
        </w:tc>
        <w:tc>
          <w:tcPr>
            <w:tcW w:w="576" w:type="pct"/>
            <w:vMerge w:val="restart"/>
          </w:tcPr>
          <w:p>
            <w:pPr>
              <w:widowControl w:val="0"/>
              <w:jc w:val="center"/>
              <w:rPr>
                <w:rFonts w:hint="eastAsia" w:ascii="宋体" w:hAnsi="宋体" w:eastAsia="宋体" w:cs="宋体"/>
                <w:sz w:val="21"/>
                <w:szCs w:val="21"/>
                <w:vertAlign w:val="baseline"/>
                <w:lang w:val="en-US" w:eastAsia="zh-CN"/>
              </w:rPr>
            </w:pPr>
          </w:p>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摇手体总成</w:t>
            </w:r>
          </w:p>
        </w:tc>
        <w:tc>
          <w:tcPr>
            <w:tcW w:w="629" w:type="pct"/>
          </w:tcPr>
          <w:p>
            <w:pPr>
              <w:widowControl w:val="0"/>
              <w:jc w:val="center"/>
              <w:rPr>
                <w:rFonts w:hint="eastAsia" w:ascii="宋体" w:hAnsi="宋体" w:eastAsia="宋体" w:cs="宋体"/>
                <w:sz w:val="11"/>
                <w:szCs w:val="11"/>
                <w:vertAlign w:val="baseline"/>
                <w:lang w:val="en-US" w:eastAsia="zh-CN"/>
              </w:rPr>
            </w:pPr>
          </w:p>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摇手柄</w:t>
            </w:r>
          </w:p>
        </w:tc>
        <w:tc>
          <w:tcPr>
            <w:tcW w:w="1094" w:type="pct"/>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折叠式，钛合金电</w:t>
            </w:r>
          </w:p>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镀工艺</w:t>
            </w:r>
          </w:p>
        </w:tc>
        <w:tc>
          <w:tcPr>
            <w:tcW w:w="812" w:type="pct"/>
            <w:vMerge w:val="restart"/>
          </w:tcPr>
          <w:p>
            <w:pPr>
              <w:widowControl w:val="0"/>
              <w:jc w:val="center"/>
              <w:rPr>
                <w:rFonts w:hint="eastAsia" w:ascii="宋体" w:hAnsi="宋体" w:eastAsia="宋体" w:cs="宋体"/>
                <w:sz w:val="21"/>
                <w:szCs w:val="21"/>
                <w:vertAlign w:val="baseline"/>
                <w:lang w:val="en-US" w:eastAsia="zh-CN"/>
              </w:rPr>
            </w:pPr>
          </w:p>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双向超越合</w:t>
            </w:r>
          </w:p>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器结构</w:t>
            </w:r>
          </w:p>
        </w:tc>
        <w:tc>
          <w:tcPr>
            <w:tcW w:w="1170" w:type="pct"/>
          </w:tcPr>
          <w:p>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11"/>
                <w:szCs w:val="11"/>
                <w:vertAlign w:val="baseline"/>
                <w:lang w:val="en-US" w:eastAsia="zh-CN"/>
              </w:rPr>
            </w:pPr>
          </w:p>
          <w:p>
            <w:pPr>
              <w:keepNext w:val="0"/>
              <w:keepLines w:val="0"/>
              <w:pageBreakBefore w:val="0"/>
              <w:widowControl w:val="0"/>
              <w:kinsoku w:val="0"/>
              <w:wordWrap/>
              <w:overflowPunct/>
              <w:topLinePunct w:val="0"/>
              <w:autoSpaceDE w:val="0"/>
              <w:autoSpaceDN w:val="0"/>
              <w:bidi w:val="0"/>
              <w:adjustRightInd w:val="0"/>
              <w:snapToGrid w:val="0"/>
              <w:jc w:val="center"/>
              <w:textAlignment w:val="baseline"/>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15" w:type="pct"/>
            <w:vMerge w:val="continue"/>
          </w:tcPr>
          <w:p>
            <w:pPr>
              <w:widowControl w:val="0"/>
              <w:jc w:val="center"/>
              <w:rPr>
                <w:rFonts w:hint="eastAsia" w:ascii="宋体" w:hAnsi="宋体" w:eastAsia="宋体" w:cs="宋体"/>
                <w:vertAlign w:val="baseline"/>
                <w:lang w:val="en-US" w:eastAsia="zh-CN"/>
              </w:rPr>
            </w:pPr>
          </w:p>
        </w:tc>
        <w:tc>
          <w:tcPr>
            <w:tcW w:w="576" w:type="pct"/>
            <w:vMerge w:val="continue"/>
          </w:tcPr>
          <w:p>
            <w:pPr>
              <w:widowControl w:val="0"/>
              <w:jc w:val="center"/>
              <w:rPr>
                <w:rFonts w:hint="eastAsia" w:ascii="宋体" w:hAnsi="宋体" w:eastAsia="宋体" w:cs="宋体"/>
                <w:sz w:val="21"/>
                <w:szCs w:val="21"/>
                <w:vertAlign w:val="baseline"/>
                <w:lang w:val="en-US" w:eastAsia="zh-CN"/>
              </w:rPr>
            </w:pPr>
          </w:p>
        </w:tc>
        <w:tc>
          <w:tcPr>
            <w:tcW w:w="629" w:type="pct"/>
          </w:tcPr>
          <w:p>
            <w:pPr>
              <w:widowControl w:val="0"/>
              <w:jc w:val="center"/>
              <w:rPr>
                <w:rFonts w:hint="eastAsia" w:ascii="宋体" w:hAnsi="宋体" w:eastAsia="宋体" w:cs="宋体"/>
                <w:sz w:val="11"/>
                <w:szCs w:val="11"/>
                <w:vertAlign w:val="baseline"/>
                <w:lang w:val="en-US" w:eastAsia="zh-CN"/>
              </w:rPr>
            </w:pPr>
          </w:p>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滚珠轴承</w:t>
            </w:r>
          </w:p>
        </w:tc>
        <w:tc>
          <w:tcPr>
            <w:tcW w:w="1094" w:type="pct"/>
          </w:tcPr>
          <w:p>
            <w:pPr>
              <w:keepNext w:val="0"/>
              <w:keepLines w:val="0"/>
              <w:widowControl/>
              <w:suppressLineNumbers w:val="0"/>
              <w:jc w:val="center"/>
              <w:rPr>
                <w:rFonts w:hint="eastAsia" w:ascii="宋体" w:hAnsi="宋体" w:eastAsia="宋体" w:cs="宋体"/>
                <w:snapToGrid w:val="0"/>
                <w:color w:val="000000"/>
                <w:kern w:val="0"/>
                <w:sz w:val="11"/>
                <w:szCs w:val="11"/>
                <w:lang w:val="en-US" w:eastAsia="zh-CN" w:bidi="ar"/>
              </w:rPr>
            </w:pPr>
          </w:p>
          <w:p>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钢珠</w:t>
            </w:r>
          </w:p>
        </w:tc>
        <w:tc>
          <w:tcPr>
            <w:tcW w:w="812" w:type="pct"/>
            <w:vMerge w:val="continue"/>
          </w:tcPr>
          <w:p>
            <w:pPr>
              <w:widowControl w:val="0"/>
              <w:jc w:val="center"/>
              <w:rPr>
                <w:rFonts w:hint="eastAsia" w:ascii="宋体" w:hAnsi="宋体" w:eastAsia="宋体" w:cs="宋体"/>
                <w:sz w:val="21"/>
                <w:szCs w:val="21"/>
                <w:vertAlign w:val="baseline"/>
                <w:lang w:val="en-US" w:eastAsia="zh-CN"/>
              </w:rPr>
            </w:pPr>
          </w:p>
        </w:tc>
        <w:tc>
          <w:tcPr>
            <w:tcW w:w="1170" w:type="pct"/>
          </w:tcPr>
          <w:p>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GB1285-85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restart"/>
          </w:tcPr>
          <w:p>
            <w:pPr>
              <w:widowControl w:val="0"/>
              <w:jc w:val="center"/>
              <w:rPr>
                <w:rFonts w:hint="eastAsia" w:ascii="宋体" w:hAnsi="宋体" w:eastAsia="宋体" w:cs="宋体"/>
                <w:sz w:val="21"/>
                <w:szCs w:val="21"/>
                <w:vertAlign w:val="baseline"/>
                <w:lang w:val="en-US" w:eastAsia="zh-CN"/>
              </w:rPr>
            </w:pPr>
          </w:p>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制动装置</w:t>
            </w:r>
          </w:p>
        </w:tc>
        <w:tc>
          <w:tcPr>
            <w:tcW w:w="1206" w:type="pct"/>
            <w:gridSpan w:val="2"/>
          </w:tcPr>
          <w:p>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侧列锁定装置</w:t>
            </w:r>
          </w:p>
        </w:tc>
        <w:tc>
          <w:tcPr>
            <w:tcW w:w="1094" w:type="pct"/>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808锁</w:t>
            </w:r>
          </w:p>
        </w:tc>
        <w:tc>
          <w:tcPr>
            <w:tcW w:w="812" w:type="pct"/>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合金</w:t>
            </w:r>
          </w:p>
        </w:tc>
        <w:tc>
          <w:tcPr>
            <w:tcW w:w="1170" w:type="pct"/>
            <w:vMerge w:val="restart"/>
          </w:tcPr>
          <w:p>
            <w:pPr>
              <w:widowControl w:val="0"/>
              <w:jc w:val="both"/>
              <w:rPr>
                <w:rFonts w:hint="eastAsia" w:ascii="宋体" w:hAnsi="宋体" w:eastAsia="宋体" w:cs="宋体"/>
                <w:sz w:val="21"/>
                <w:szCs w:val="21"/>
                <w:vertAlign w:val="baseline"/>
                <w:lang w:val="en-US" w:eastAsia="zh-CN"/>
              </w:rPr>
            </w:pPr>
          </w:p>
          <w:p>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GB/T699-2015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715" w:type="pct"/>
            <w:vMerge w:val="continue"/>
          </w:tcPr>
          <w:p>
            <w:pPr>
              <w:widowControl w:val="0"/>
              <w:jc w:val="center"/>
              <w:rPr>
                <w:rFonts w:hint="eastAsia" w:ascii="宋体" w:hAnsi="宋体" w:eastAsia="宋体" w:cs="宋体"/>
                <w:sz w:val="21"/>
                <w:szCs w:val="21"/>
                <w:vertAlign w:val="baseline"/>
                <w:lang w:val="en-US" w:eastAsia="zh-CN"/>
              </w:rPr>
            </w:pPr>
          </w:p>
        </w:tc>
        <w:tc>
          <w:tcPr>
            <w:tcW w:w="1206" w:type="pct"/>
            <w:gridSpan w:val="2"/>
          </w:tcPr>
          <w:p>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中间列制动装置</w:t>
            </w:r>
          </w:p>
        </w:tc>
        <w:tc>
          <w:tcPr>
            <w:tcW w:w="1094" w:type="pct"/>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812" w:type="pct"/>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碳钢</w:t>
            </w:r>
          </w:p>
        </w:tc>
        <w:tc>
          <w:tcPr>
            <w:tcW w:w="1170" w:type="pct"/>
            <w:vMerge w:val="continue"/>
          </w:tcPr>
          <w:p>
            <w:pPr>
              <w:widowControl w:val="0"/>
              <w:jc w:val="center"/>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restart"/>
          </w:tcPr>
          <w:p>
            <w:pPr>
              <w:widowControl w:val="0"/>
              <w:jc w:val="center"/>
              <w:rPr>
                <w:rFonts w:hint="eastAsia" w:ascii="宋体" w:hAnsi="宋体" w:eastAsia="宋体" w:cs="宋体"/>
                <w:sz w:val="21"/>
                <w:szCs w:val="21"/>
                <w:vertAlign w:val="baseline"/>
                <w:lang w:val="en-US" w:eastAsia="zh-CN"/>
              </w:rPr>
            </w:pPr>
          </w:p>
          <w:p>
            <w:pPr>
              <w:widowControl w:val="0"/>
              <w:jc w:val="center"/>
              <w:rPr>
                <w:rFonts w:hint="eastAsia" w:ascii="宋体" w:hAnsi="宋体" w:eastAsia="宋体" w:cs="宋体"/>
                <w:sz w:val="21"/>
                <w:szCs w:val="21"/>
                <w:vertAlign w:val="baseline"/>
                <w:lang w:val="en-US" w:eastAsia="zh-CN"/>
              </w:rPr>
            </w:pPr>
          </w:p>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防护装置</w:t>
            </w:r>
          </w:p>
        </w:tc>
        <w:tc>
          <w:tcPr>
            <w:tcW w:w="1206" w:type="pct"/>
            <w:gridSpan w:val="2"/>
          </w:tcPr>
          <w:p>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防震,防尘装置</w:t>
            </w:r>
          </w:p>
        </w:tc>
        <w:tc>
          <w:tcPr>
            <w:tcW w:w="1094" w:type="pct"/>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20mm磁性吸条</w:t>
            </w:r>
          </w:p>
        </w:tc>
        <w:tc>
          <w:tcPr>
            <w:tcW w:w="812" w:type="pct"/>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环保PVC</w:t>
            </w:r>
          </w:p>
        </w:tc>
        <w:tc>
          <w:tcPr>
            <w:tcW w:w="1170" w:type="pct"/>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continue"/>
          </w:tcPr>
          <w:p>
            <w:pPr>
              <w:widowControl w:val="0"/>
              <w:jc w:val="center"/>
              <w:rPr>
                <w:rFonts w:hint="eastAsia" w:ascii="宋体" w:hAnsi="宋体" w:eastAsia="宋体" w:cs="宋体"/>
                <w:sz w:val="21"/>
                <w:szCs w:val="21"/>
                <w:vertAlign w:val="baseline"/>
                <w:lang w:val="en-US" w:eastAsia="zh-CN"/>
              </w:rPr>
            </w:pPr>
          </w:p>
        </w:tc>
        <w:tc>
          <w:tcPr>
            <w:tcW w:w="1206" w:type="pct"/>
            <w:gridSpan w:val="2"/>
          </w:tcPr>
          <w:p>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顶板</w:t>
            </w:r>
          </w:p>
        </w:tc>
        <w:tc>
          <w:tcPr>
            <w:tcW w:w="1094" w:type="pct"/>
            <w:vAlign w:val="top"/>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钢板厚度≥1.0mm</w:t>
            </w:r>
          </w:p>
        </w:tc>
        <w:tc>
          <w:tcPr>
            <w:tcW w:w="812" w:type="pct"/>
            <w:vAlign w:val="top"/>
          </w:tcPr>
          <w:p>
            <w:pPr>
              <w:widowControl w:val="0"/>
              <w:jc w:val="center"/>
              <w:rPr>
                <w:rFonts w:hint="eastAsia" w:ascii="宋体" w:hAnsi="宋体" w:eastAsia="宋体" w:cs="宋体"/>
                <w:snapToGrid w:val="0"/>
                <w:color w:val="000000"/>
                <w:sz w:val="21"/>
                <w:szCs w:val="21"/>
                <w:vertAlign w:val="baseline"/>
                <w:lang w:val="en-US" w:eastAsia="zh-CN" w:bidi="ar-SA"/>
              </w:rPr>
            </w:pPr>
            <w:r>
              <w:rPr>
                <w:rFonts w:hint="eastAsia" w:ascii="宋体" w:hAnsi="宋体" w:eastAsia="宋体" w:cs="宋体"/>
                <w:sz w:val="21"/>
                <w:szCs w:val="21"/>
                <w:vertAlign w:val="baseline"/>
                <w:lang w:val="en-US" w:eastAsia="zh-CN"/>
              </w:rPr>
              <w:t>冷轧钢板</w:t>
            </w:r>
          </w:p>
        </w:tc>
        <w:tc>
          <w:tcPr>
            <w:tcW w:w="1170" w:type="pct"/>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GB710-2008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continue"/>
          </w:tcPr>
          <w:p>
            <w:pPr>
              <w:widowControl w:val="0"/>
              <w:jc w:val="center"/>
              <w:rPr>
                <w:rFonts w:hint="eastAsia" w:ascii="宋体" w:hAnsi="宋体" w:eastAsia="宋体" w:cs="宋体"/>
                <w:sz w:val="21"/>
                <w:szCs w:val="21"/>
                <w:vertAlign w:val="baseline"/>
                <w:lang w:val="en-US" w:eastAsia="zh-CN"/>
              </w:rPr>
            </w:pPr>
          </w:p>
        </w:tc>
        <w:tc>
          <w:tcPr>
            <w:tcW w:w="1206" w:type="pct"/>
            <w:gridSpan w:val="2"/>
          </w:tcPr>
          <w:p>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防尘板、防鼠板</w:t>
            </w:r>
          </w:p>
        </w:tc>
        <w:tc>
          <w:tcPr>
            <w:tcW w:w="1094" w:type="pct"/>
            <w:vAlign w:val="top"/>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钢板厚度≥1.0mm</w:t>
            </w:r>
          </w:p>
        </w:tc>
        <w:tc>
          <w:tcPr>
            <w:tcW w:w="812" w:type="pct"/>
            <w:vAlign w:val="top"/>
          </w:tcPr>
          <w:p>
            <w:pPr>
              <w:widowControl w:val="0"/>
              <w:jc w:val="center"/>
              <w:rPr>
                <w:rFonts w:hint="eastAsia" w:ascii="宋体" w:hAnsi="宋体" w:eastAsia="宋体" w:cs="宋体"/>
                <w:snapToGrid w:val="0"/>
                <w:color w:val="000000"/>
                <w:sz w:val="21"/>
                <w:szCs w:val="21"/>
                <w:vertAlign w:val="baseline"/>
                <w:lang w:val="en-US" w:eastAsia="zh-CN" w:bidi="ar-SA"/>
              </w:rPr>
            </w:pPr>
            <w:r>
              <w:rPr>
                <w:rFonts w:hint="eastAsia" w:ascii="宋体" w:hAnsi="宋体" w:eastAsia="宋体" w:cs="宋体"/>
                <w:sz w:val="21"/>
                <w:szCs w:val="21"/>
                <w:vertAlign w:val="baseline"/>
                <w:lang w:val="en-US" w:eastAsia="zh-CN"/>
              </w:rPr>
              <w:t>冷轧钢板</w:t>
            </w:r>
          </w:p>
        </w:tc>
        <w:tc>
          <w:tcPr>
            <w:tcW w:w="1170" w:type="pct"/>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GB710-2008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vMerge w:val="continue"/>
          </w:tcPr>
          <w:p>
            <w:pPr>
              <w:widowControl w:val="0"/>
              <w:jc w:val="center"/>
              <w:rPr>
                <w:rFonts w:hint="eastAsia" w:ascii="宋体" w:hAnsi="宋体" w:eastAsia="宋体" w:cs="宋体"/>
                <w:sz w:val="21"/>
                <w:szCs w:val="21"/>
                <w:vertAlign w:val="baseline"/>
                <w:lang w:val="en-US" w:eastAsia="zh-CN"/>
              </w:rPr>
            </w:pPr>
          </w:p>
        </w:tc>
        <w:tc>
          <w:tcPr>
            <w:tcW w:w="1206" w:type="pct"/>
            <w:gridSpan w:val="2"/>
          </w:tcPr>
          <w:p>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防倾倒装置</w:t>
            </w:r>
          </w:p>
        </w:tc>
        <w:tc>
          <w:tcPr>
            <w:tcW w:w="1094" w:type="pct"/>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钢板厚度≥3.0mm</w:t>
            </w:r>
          </w:p>
        </w:tc>
        <w:tc>
          <w:tcPr>
            <w:tcW w:w="812" w:type="pct"/>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热轧钢板</w:t>
            </w:r>
          </w:p>
        </w:tc>
        <w:tc>
          <w:tcPr>
            <w:tcW w:w="1170" w:type="pct"/>
          </w:tcPr>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GB/T711-2008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715" w:type="pct"/>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napToGrid w:val="0"/>
                <w:color w:val="000000"/>
                <w:kern w:val="0"/>
                <w:sz w:val="21"/>
                <w:szCs w:val="21"/>
                <w:lang w:val="en-US" w:eastAsia="zh-CN" w:bidi="ar"/>
              </w:rPr>
              <w:t>表面处理</w:t>
            </w:r>
          </w:p>
          <w:p>
            <w:pPr>
              <w:widowControl w:val="0"/>
              <w:jc w:val="center"/>
              <w:rPr>
                <w:rFonts w:hint="eastAsia" w:ascii="宋体" w:hAnsi="宋体" w:eastAsia="宋体" w:cs="宋体"/>
                <w:sz w:val="21"/>
                <w:szCs w:val="21"/>
                <w:vertAlign w:val="baseline"/>
                <w:lang w:val="en-US" w:eastAsia="zh-CN"/>
              </w:rPr>
            </w:pPr>
          </w:p>
        </w:tc>
        <w:tc>
          <w:tcPr>
            <w:tcW w:w="1206" w:type="pct"/>
            <w:gridSpan w:val="2"/>
          </w:tcPr>
          <w:p>
            <w:pPr>
              <w:keepNext w:val="0"/>
              <w:keepLines w:val="0"/>
              <w:widowControl/>
              <w:suppressLineNumbers w:val="0"/>
              <w:jc w:val="center"/>
              <w:rPr>
                <w:rFonts w:hint="eastAsia" w:ascii="宋体" w:hAnsi="宋体" w:eastAsia="宋体" w:cs="宋体"/>
                <w:snapToGrid w:val="0"/>
                <w:color w:val="000000"/>
                <w:kern w:val="0"/>
                <w:sz w:val="21"/>
                <w:szCs w:val="21"/>
                <w:lang w:val="en-US" w:eastAsia="zh-CN" w:bidi="ar"/>
              </w:rPr>
            </w:pPr>
          </w:p>
          <w:p>
            <w:pPr>
              <w:keepNext w:val="0"/>
              <w:keepLines w:val="0"/>
              <w:widowControl/>
              <w:suppressLineNumbers w:val="0"/>
              <w:jc w:val="center"/>
              <w:rPr>
                <w:rFonts w:hint="eastAsia" w:ascii="宋体" w:hAnsi="宋体" w:eastAsia="宋体" w:cs="宋体"/>
                <w:b/>
                <w:bCs/>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高压静电喷塑</w:t>
            </w:r>
          </w:p>
        </w:tc>
        <w:tc>
          <w:tcPr>
            <w:tcW w:w="1094" w:type="pct"/>
          </w:tcPr>
          <w:p>
            <w:pPr>
              <w:widowControl w:val="0"/>
              <w:jc w:val="center"/>
              <w:rPr>
                <w:rFonts w:hint="eastAsia" w:ascii="宋体" w:hAnsi="宋体" w:eastAsia="宋体" w:cs="宋体"/>
                <w:sz w:val="21"/>
                <w:szCs w:val="21"/>
                <w:vertAlign w:val="baseline"/>
                <w:lang w:val="en-US" w:eastAsia="zh-CN"/>
              </w:rPr>
            </w:pPr>
          </w:p>
          <w:p>
            <w:pPr>
              <w:widowControl w:val="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w:t>
            </w:r>
          </w:p>
        </w:tc>
        <w:tc>
          <w:tcPr>
            <w:tcW w:w="812" w:type="pct"/>
          </w:tcPr>
          <w:p>
            <w:pPr>
              <w:keepNext w:val="0"/>
              <w:keepLines w:val="0"/>
              <w:widowControl/>
              <w:suppressLineNumbers w:val="0"/>
              <w:jc w:val="center"/>
              <w:rPr>
                <w:rFonts w:hint="eastAsia" w:ascii="宋体" w:hAnsi="宋体" w:eastAsia="宋体" w:cs="宋体"/>
                <w:snapToGrid w:val="0"/>
                <w:color w:val="000000"/>
                <w:kern w:val="0"/>
                <w:sz w:val="13"/>
                <w:szCs w:val="13"/>
                <w:lang w:val="en-US" w:eastAsia="zh-CN" w:bidi="ar"/>
              </w:rPr>
            </w:pPr>
          </w:p>
          <w:p>
            <w:pPr>
              <w:keepNext w:val="0"/>
              <w:keepLines w:val="0"/>
              <w:widowControl/>
              <w:suppressLineNumbers w:val="0"/>
              <w:jc w:val="center"/>
              <w:rPr>
                <w:rFonts w:hint="eastAsia" w:ascii="宋体" w:hAnsi="宋体" w:eastAsia="宋体" w:cs="宋体"/>
                <w:sz w:val="21"/>
                <w:szCs w:val="21"/>
              </w:rPr>
            </w:pPr>
            <w:r>
              <w:rPr>
                <w:rFonts w:hint="eastAsia" w:ascii="宋体" w:hAnsi="宋体" w:eastAsia="宋体" w:cs="宋体"/>
                <w:snapToGrid w:val="0"/>
                <w:color w:val="000000"/>
                <w:kern w:val="0"/>
                <w:sz w:val="21"/>
                <w:szCs w:val="21"/>
                <w:lang w:val="en-US" w:eastAsia="zh-CN" w:bidi="ar"/>
              </w:rPr>
              <w:t>环氧型聚脂</w:t>
            </w:r>
          </w:p>
          <w:p>
            <w:pPr>
              <w:keepNext w:val="0"/>
              <w:keepLines w:val="0"/>
              <w:widowControl/>
              <w:suppressLineNumbers w:val="0"/>
              <w:jc w:val="center"/>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混合粉末</w:t>
            </w:r>
          </w:p>
        </w:tc>
        <w:tc>
          <w:tcPr>
            <w:tcW w:w="1170" w:type="pct"/>
          </w:tcPr>
          <w:p>
            <w:pPr>
              <w:keepNext w:val="0"/>
              <w:keepLines w:val="0"/>
              <w:widowControl/>
              <w:suppressLineNumbers w:val="0"/>
              <w:jc w:val="left"/>
              <w:rPr>
                <w:rFonts w:hint="eastAsia" w:ascii="宋体" w:hAnsi="宋体" w:eastAsia="宋体" w:cs="宋体"/>
                <w:sz w:val="21"/>
                <w:szCs w:val="21"/>
                <w:vertAlign w:val="baseline"/>
                <w:lang w:val="en-US" w:eastAsia="zh-CN"/>
              </w:rPr>
            </w:pPr>
            <w:r>
              <w:rPr>
                <w:rFonts w:hint="eastAsia" w:ascii="宋体" w:hAnsi="宋体" w:eastAsia="宋体" w:cs="宋体"/>
                <w:snapToGrid w:val="0"/>
                <w:color w:val="000000"/>
                <w:kern w:val="0"/>
                <w:sz w:val="21"/>
                <w:szCs w:val="21"/>
                <w:lang w:val="en-US" w:eastAsia="zh-CN" w:bidi="ar"/>
              </w:rPr>
              <w:t>符合ISO认证产品。符合GB-1720、1730、1734 标准。</w:t>
            </w:r>
          </w:p>
        </w:tc>
      </w:tr>
    </w:tbl>
    <w:p>
      <w:pPr>
        <w:rPr>
          <w:rFonts w:hint="eastAsia" w:asciiTheme="minorEastAsia" w:hAnsiTheme="minorEastAsia" w:eastAsiaTheme="minorEastAsia"/>
          <w:sz w:val="28"/>
          <w:szCs w:val="28"/>
          <w:lang w:val="en-US" w:eastAsia="zh-CN"/>
        </w:rPr>
      </w:pPr>
    </w:p>
    <w:p>
      <w:pPr>
        <w:rPr>
          <w:rFonts w:hint="eastAsia" w:asciiTheme="minorEastAsia" w:hAnsiTheme="minorEastAsia" w:eastAsiaTheme="minorEastAsia"/>
          <w:sz w:val="28"/>
          <w:szCs w:val="28"/>
          <w:lang w:val="en-US" w:eastAsia="zh-CN"/>
        </w:rPr>
      </w:pPr>
    </w:p>
    <w:p>
      <w:pPr>
        <w:numPr>
          <w:ilvl w:val="0"/>
          <w:numId w:val="0"/>
        </w:numPr>
        <w:spacing w:line="360" w:lineRule="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 xml:space="preserve">3、电动密集柜产品工艺及技术要求 </w:t>
      </w:r>
    </w:p>
    <w:p>
      <w:pPr>
        <w:keepNext w:val="0"/>
        <w:keepLines w:val="0"/>
        <w:widowControl/>
        <w:suppressLineNumbers w:val="0"/>
        <w:spacing w:line="360" w:lineRule="auto"/>
        <w:ind w:firstLine="368" w:firstLineChars="0"/>
        <w:jc w:val="left"/>
        <w:rPr>
          <w:rFonts w:hint="eastAsia" w:cs="Times New Roman" w:asciiTheme="minorEastAsia" w:hAnsiTheme="minorEastAsia" w:eastAsiaTheme="minorEastAsia"/>
          <w:snapToGrid w:val="0"/>
          <w:color w:val="000000"/>
          <w:sz w:val="24"/>
          <w:szCs w:val="24"/>
          <w:lang w:val="en-US" w:eastAsia="zh-CN" w:bidi="ar-SA"/>
        </w:rPr>
      </w:pPr>
      <w:r>
        <w:rPr>
          <w:rFonts w:hint="eastAsia" w:cs="Times New Roman" w:asciiTheme="minorEastAsia" w:hAnsiTheme="minorEastAsia" w:eastAsiaTheme="minorEastAsia"/>
          <w:snapToGrid w:val="0"/>
          <w:color w:val="000000"/>
          <w:sz w:val="24"/>
          <w:szCs w:val="24"/>
          <w:lang w:val="en-US" w:eastAsia="zh-CN" w:bidi="ar-SA"/>
        </w:rPr>
        <w:t xml:space="preserve">产品规格须根据国家标准及招标文件的实际要求进行设计生产，具体工艺流程、规 格、技术参数、质量要求如下： </w:t>
      </w:r>
    </w:p>
    <w:p>
      <w:pPr>
        <w:keepNext w:val="0"/>
        <w:keepLines w:val="0"/>
        <w:widowControl/>
        <w:suppressLineNumbers w:val="0"/>
        <w:spacing w:line="360" w:lineRule="auto"/>
        <w:jc w:val="left"/>
        <w:rPr>
          <w:rFonts w:hint="eastAsia" w:cs="Times New Roman" w:asciiTheme="minorEastAsia" w:hAnsiTheme="minorEastAsia" w:eastAsiaTheme="minorEastAsia"/>
          <w:snapToGrid w:val="0"/>
          <w:color w:val="000000"/>
          <w:sz w:val="24"/>
          <w:szCs w:val="24"/>
          <w:lang w:val="en-US" w:eastAsia="zh-CN" w:bidi="ar-SA"/>
        </w:rPr>
      </w:pPr>
      <w:r>
        <w:rPr>
          <w:rFonts w:hint="eastAsia" w:cs="Times New Roman" w:asciiTheme="minorEastAsia" w:hAnsiTheme="minorEastAsia" w:eastAsiaTheme="minorEastAsia"/>
          <w:snapToGrid w:val="0"/>
          <w:color w:val="000000"/>
          <w:sz w:val="24"/>
          <w:szCs w:val="24"/>
          <w:lang w:val="en-US" w:eastAsia="zh-CN" w:bidi="ar-SA"/>
        </w:rPr>
        <w:t xml:space="preserve">（1）工艺流程 </w:t>
      </w:r>
    </w:p>
    <w:p>
      <w:pPr>
        <w:keepNext w:val="0"/>
        <w:keepLines w:val="0"/>
        <w:widowControl/>
        <w:suppressLineNumbers w:val="0"/>
        <w:spacing w:line="360" w:lineRule="auto"/>
        <w:ind w:firstLine="368" w:firstLineChars="0"/>
        <w:jc w:val="left"/>
        <w:rPr>
          <w:rFonts w:hint="eastAsia" w:cs="Times New Roman" w:asciiTheme="minorEastAsia" w:hAnsiTheme="minorEastAsia" w:eastAsiaTheme="minorEastAsia"/>
          <w:snapToGrid w:val="0"/>
          <w:color w:val="000000"/>
          <w:sz w:val="24"/>
          <w:szCs w:val="24"/>
          <w:lang w:val="en-US" w:eastAsia="zh-CN" w:bidi="ar-SA"/>
        </w:rPr>
      </w:pPr>
      <w:r>
        <w:rPr>
          <w:rFonts w:hint="eastAsia" w:cs="Times New Roman" w:asciiTheme="minorEastAsia" w:hAnsiTheme="minorEastAsia" w:eastAsiaTheme="minorEastAsia"/>
          <w:snapToGrid w:val="0"/>
          <w:color w:val="000000"/>
          <w:sz w:val="24"/>
          <w:szCs w:val="24"/>
          <w:lang w:val="en-US" w:eastAsia="zh-CN" w:bidi="ar-SA"/>
        </w:rPr>
        <w:t xml:space="preserve">密集架生产工艺及流程（剪板、冲压、折弯、焊接等）严格执行国家标准，确保各个环节精准符合制造要求。 </w:t>
      </w:r>
    </w:p>
    <w:p>
      <w:pPr>
        <w:keepNext w:val="0"/>
        <w:keepLines w:val="0"/>
        <w:widowControl/>
        <w:suppressLineNumbers w:val="0"/>
        <w:spacing w:line="360" w:lineRule="auto"/>
        <w:jc w:val="left"/>
        <w:rPr>
          <w:rFonts w:hint="eastAsia" w:cs="Times New Roman" w:asciiTheme="minorEastAsia" w:hAnsiTheme="minorEastAsia" w:eastAsiaTheme="minorEastAsia"/>
          <w:snapToGrid w:val="0"/>
          <w:color w:val="000000"/>
          <w:sz w:val="24"/>
          <w:szCs w:val="24"/>
          <w:lang w:val="en-US" w:eastAsia="zh-CN" w:bidi="ar-SA"/>
        </w:rPr>
      </w:pPr>
      <w:r>
        <w:rPr>
          <w:rFonts w:hint="eastAsia" w:cs="Times New Roman" w:asciiTheme="minorEastAsia" w:hAnsiTheme="minorEastAsia" w:eastAsiaTheme="minorEastAsia"/>
          <w:snapToGrid w:val="0"/>
          <w:color w:val="000000"/>
          <w:sz w:val="24"/>
          <w:szCs w:val="24"/>
          <w:lang w:val="en-US" w:eastAsia="zh-CN" w:bidi="ar-SA"/>
        </w:rPr>
        <w:t xml:space="preserve">（2）款式结构 </w:t>
      </w:r>
    </w:p>
    <w:p>
      <w:pPr>
        <w:keepNext w:val="0"/>
        <w:keepLines w:val="0"/>
        <w:widowControl/>
        <w:suppressLineNumbers w:val="0"/>
        <w:spacing w:line="360" w:lineRule="auto"/>
        <w:ind w:firstLine="368" w:firstLineChars="0"/>
        <w:jc w:val="left"/>
        <w:rPr>
          <w:rFonts w:hint="eastAsia" w:cs="Times New Roman" w:asciiTheme="minorEastAsia" w:hAnsiTheme="minorEastAsia" w:eastAsiaTheme="minorEastAsia"/>
          <w:snapToGrid w:val="0"/>
          <w:color w:val="000000"/>
          <w:sz w:val="24"/>
          <w:szCs w:val="24"/>
          <w:lang w:val="en-US" w:eastAsia="zh-CN" w:bidi="ar-SA"/>
        </w:rPr>
      </w:pPr>
      <w:r>
        <w:rPr>
          <w:rFonts w:hint="eastAsia" w:cs="Times New Roman" w:asciiTheme="minorEastAsia" w:hAnsiTheme="minorEastAsia" w:eastAsiaTheme="minorEastAsia"/>
          <w:snapToGrid w:val="0"/>
          <w:color w:val="000000"/>
          <w:sz w:val="24"/>
          <w:szCs w:val="24"/>
          <w:lang w:val="en-US" w:eastAsia="zh-CN" w:bidi="ar-SA"/>
        </w:rPr>
        <w:t xml:space="preserve">该产品主要由底架（座）、架体、传动装置、防护装置四大部分组成，散装运输，交货现场安装调试完毕并交付使用。 </w:t>
      </w:r>
    </w:p>
    <w:p>
      <w:pPr>
        <w:keepNext w:val="0"/>
        <w:keepLines w:val="0"/>
        <w:widowControl/>
        <w:suppressLineNumbers w:val="0"/>
        <w:spacing w:line="360" w:lineRule="auto"/>
        <w:ind w:firstLine="368" w:firstLineChars="0"/>
        <w:jc w:val="left"/>
        <w:rPr>
          <w:rFonts w:hint="eastAsia" w:cs="Times New Roman" w:asciiTheme="minorEastAsia" w:hAnsiTheme="minorEastAsia" w:eastAsiaTheme="minorEastAsia"/>
          <w:snapToGrid w:val="0"/>
          <w:color w:val="000000"/>
          <w:sz w:val="24"/>
          <w:szCs w:val="24"/>
          <w:lang w:val="en-US" w:eastAsia="zh-CN" w:bidi="ar-SA"/>
        </w:rPr>
      </w:pPr>
      <w:r>
        <w:rPr>
          <w:rFonts w:hint="eastAsia" w:cs="Times New Roman" w:asciiTheme="minorEastAsia" w:hAnsiTheme="minorEastAsia" w:eastAsiaTheme="minorEastAsia"/>
          <w:snapToGrid w:val="0"/>
          <w:color w:val="000000"/>
          <w:sz w:val="24"/>
          <w:szCs w:val="24"/>
          <w:lang w:val="en-US" w:eastAsia="zh-CN" w:bidi="ar-SA"/>
        </w:rPr>
        <w:t>▲底架（座）：底架为分段组合式，整体焊接而成，运行平稳且加工精度高，具有对接互换性，便于运输和安装，并设有防倾倒装置，防止架体倾倒。用材厚度为 3.0mm热轧钢板，压制成槽型，并双弯边加强上弯边大于 50mm，架体长期荷重存放资料不变形，底盘与立柱连接采用M10X20螺栓底架装配后的直线平行度不大于0.5mm/m，全长不大于2mm。轴承梁采用3.0mm 热轧钢板，四道弯边加强，成型高度、正面厚度≥45，采用数控流水线一次成型加工，同时正面压制凹型平面槽，凹槽宽度≥10mm,深度≥1.0mm增强轴承梁整体强度，增强底梁整体抗扭强度和抗变形能力。（</w:t>
      </w:r>
      <w:r>
        <w:rPr>
          <w:rFonts w:hint="eastAsia" w:cs="Times New Roman" w:asciiTheme="minorEastAsia" w:hAnsiTheme="minorEastAsia" w:eastAsiaTheme="minorEastAsia"/>
          <w:b/>
          <w:bCs/>
          <w:snapToGrid w:val="0"/>
          <w:color w:val="000000"/>
          <w:sz w:val="24"/>
          <w:szCs w:val="24"/>
          <w:lang w:val="en-US" w:eastAsia="zh-CN" w:bidi="ar-SA"/>
        </w:rPr>
        <w:t>需提供具有 CMA 认证资质的第三方专业检测机构出具符合要求的检测报告作为佐证材料。</w:t>
      </w:r>
      <w:r>
        <w:rPr>
          <w:rFonts w:hint="eastAsia" w:cs="Times New Roman" w:asciiTheme="minorEastAsia" w:hAnsiTheme="minorEastAsia" w:eastAsiaTheme="minorEastAsia"/>
          <w:snapToGrid w:val="0"/>
          <w:color w:val="000000"/>
          <w:sz w:val="24"/>
          <w:szCs w:val="24"/>
          <w:lang w:val="en-US" w:eastAsia="zh-CN" w:bidi="ar-SA"/>
        </w:rPr>
        <w:t xml:space="preserve">） </w:t>
      </w:r>
    </w:p>
    <w:p>
      <w:pPr>
        <w:keepNext w:val="0"/>
        <w:keepLines w:val="0"/>
        <w:widowControl/>
        <w:suppressLineNumbers w:val="0"/>
        <w:spacing w:line="360" w:lineRule="auto"/>
        <w:ind w:firstLine="368" w:firstLineChars="0"/>
        <w:jc w:val="left"/>
        <w:rPr>
          <w:rFonts w:hint="eastAsia" w:cs="Times New Roman" w:asciiTheme="minorEastAsia" w:hAnsiTheme="minorEastAsia" w:eastAsiaTheme="minorEastAsia"/>
          <w:snapToGrid w:val="0"/>
          <w:color w:val="000000"/>
          <w:sz w:val="24"/>
          <w:szCs w:val="24"/>
          <w:lang w:val="en-US" w:eastAsia="zh-CN" w:bidi="ar-SA"/>
        </w:rPr>
      </w:pPr>
      <w:r>
        <w:rPr>
          <w:rFonts w:hint="eastAsia" w:cs="Times New Roman" w:asciiTheme="minorEastAsia" w:hAnsiTheme="minorEastAsia" w:eastAsiaTheme="minorEastAsia"/>
          <w:snapToGrid w:val="0"/>
          <w:color w:val="000000"/>
          <w:sz w:val="24"/>
          <w:szCs w:val="24"/>
          <w:lang w:val="en-US" w:eastAsia="zh-CN" w:bidi="ar-SA"/>
        </w:rPr>
        <w:t>★路轨：轨道座采用≥3.0mm 不锈钢板，三道弯边加强工艺，成型宽度为 120±2mm，中间设置两条凹槽筋，凹槽宽度为15.5±2mm，高度23±2mm，第三道弯边成型高度为6±2mm，整体结构设计钢性足，承载能力强，不易变形。轨芯采用20±1mm×20±1m实心不锈钢，两者焊接组合成路轨后，经精细打磨后，开始铺设。本项目轨道铺设方式采用埋入式，需要进行场地恢复，导轨开槽及因开槽损坏的地砖修补由本项目中标人负责。</w:t>
      </w:r>
    </w:p>
    <w:p>
      <w:pPr>
        <w:keepNext w:val="0"/>
        <w:keepLines w:val="0"/>
        <w:widowControl/>
        <w:suppressLineNumbers w:val="0"/>
        <w:spacing w:line="360" w:lineRule="auto"/>
        <w:ind w:firstLine="368" w:firstLineChars="0"/>
        <w:jc w:val="left"/>
        <w:rPr>
          <w:rFonts w:hint="eastAsia" w:cs="Times New Roman" w:asciiTheme="minorEastAsia" w:hAnsiTheme="minorEastAsia" w:eastAsiaTheme="minorEastAsia"/>
          <w:snapToGrid w:val="0"/>
          <w:color w:val="000000"/>
          <w:sz w:val="24"/>
          <w:szCs w:val="24"/>
          <w:lang w:val="en-US" w:eastAsia="zh-CN" w:bidi="ar-SA"/>
        </w:rPr>
      </w:pPr>
      <w:r>
        <w:rPr>
          <w:rFonts w:hint="eastAsia" w:cs="Times New Roman" w:asciiTheme="minorEastAsia" w:hAnsiTheme="minorEastAsia" w:eastAsiaTheme="minorEastAsia"/>
          <w:snapToGrid w:val="0"/>
          <w:color w:val="000000"/>
          <w:sz w:val="24"/>
          <w:szCs w:val="24"/>
          <w:lang w:val="en-US" w:eastAsia="zh-CN" w:bidi="ar-SA"/>
        </w:rPr>
        <w:t>▲立柱：采用1.5mm优质冷轧钢板一体成型工艺，设计为半敞开式，利于立柱表面喷涂全部到位，立柱成型尺寸50×50mm，正面压制梯形凹槽和一对凹型圆筋，梯形凹槽底部尺寸≥23mm，上面尺寸≥30mm，深度≥1.5mm,圆筋半径 1.5mm。侧面设有双排立柱调节孔，孔中心距 58mm，允许尺寸公差±1mm。（</w:t>
      </w:r>
      <w:r>
        <w:rPr>
          <w:rFonts w:hint="eastAsia" w:cs="Times New Roman" w:asciiTheme="minorEastAsia" w:hAnsiTheme="minorEastAsia" w:eastAsiaTheme="minorEastAsia"/>
          <w:b/>
          <w:bCs/>
          <w:snapToGrid w:val="0"/>
          <w:color w:val="000000"/>
          <w:sz w:val="24"/>
          <w:szCs w:val="24"/>
          <w:lang w:val="en-US" w:eastAsia="zh-CN" w:bidi="ar-SA"/>
        </w:rPr>
        <w:t>需提供具有 CMA 认证资质的第三方专业检测机构出具符合要求的检测报告作为佐证材料。</w:t>
      </w:r>
      <w:r>
        <w:rPr>
          <w:rFonts w:hint="eastAsia" w:cs="Times New Roman" w:asciiTheme="minorEastAsia" w:hAnsiTheme="minorEastAsia" w:eastAsiaTheme="minorEastAsia"/>
          <w:snapToGrid w:val="0"/>
          <w:color w:val="000000"/>
          <w:sz w:val="24"/>
          <w:szCs w:val="24"/>
          <w:lang w:val="en-US" w:eastAsia="zh-CN" w:bidi="ar-SA"/>
        </w:rPr>
        <w:t xml:space="preserve">） </w:t>
      </w:r>
    </w:p>
    <w:p>
      <w:pPr>
        <w:keepNext w:val="0"/>
        <w:keepLines w:val="0"/>
        <w:widowControl/>
        <w:suppressLineNumbers w:val="0"/>
        <w:spacing w:line="360" w:lineRule="auto"/>
        <w:ind w:firstLine="368" w:firstLineChars="0"/>
        <w:jc w:val="left"/>
        <w:rPr>
          <w:rFonts w:hint="eastAsia" w:cs="Times New Roman" w:asciiTheme="minorEastAsia" w:hAnsiTheme="minorEastAsia" w:eastAsiaTheme="minorEastAsia"/>
          <w:snapToGrid w:val="0"/>
          <w:color w:val="000000"/>
          <w:sz w:val="24"/>
          <w:szCs w:val="24"/>
          <w:lang w:val="en-US" w:eastAsia="zh-CN" w:bidi="ar-SA"/>
        </w:rPr>
      </w:pPr>
      <w:r>
        <w:rPr>
          <w:rFonts w:hint="eastAsia" w:cs="Times New Roman" w:asciiTheme="minorEastAsia" w:hAnsiTheme="minorEastAsia" w:eastAsiaTheme="minorEastAsia"/>
          <w:snapToGrid w:val="0"/>
          <w:color w:val="000000"/>
          <w:sz w:val="24"/>
          <w:szCs w:val="24"/>
          <w:lang w:val="en-US" w:eastAsia="zh-CN" w:bidi="ar-SA"/>
        </w:rPr>
        <w:t xml:space="preserve">搁板：搁板采用 1.0mm 的优质冷轧钢板，单边设有防脱落挡边，表面光滑流畅无冲压步冲印痕，压筋工艺须符合标准，不可导致搁板变形，不可影响搁板结构性能。 </w:t>
      </w:r>
    </w:p>
    <w:p>
      <w:pPr>
        <w:keepNext w:val="0"/>
        <w:keepLines w:val="0"/>
        <w:widowControl/>
        <w:suppressLineNumbers w:val="0"/>
        <w:spacing w:line="360" w:lineRule="auto"/>
        <w:ind w:firstLine="368" w:firstLineChars="0"/>
        <w:jc w:val="left"/>
        <w:rPr>
          <w:rFonts w:hint="eastAsia" w:cs="Times New Roman" w:asciiTheme="minorEastAsia" w:hAnsiTheme="minorEastAsia" w:eastAsiaTheme="minorEastAsia"/>
          <w:snapToGrid w:val="0"/>
          <w:color w:val="000000"/>
          <w:sz w:val="24"/>
          <w:szCs w:val="24"/>
          <w:lang w:val="en-US" w:eastAsia="zh-CN" w:bidi="ar-SA"/>
        </w:rPr>
      </w:pPr>
      <w:r>
        <w:rPr>
          <w:rFonts w:hint="eastAsia" w:cs="Times New Roman" w:asciiTheme="minorEastAsia" w:hAnsiTheme="minorEastAsia" w:eastAsiaTheme="minorEastAsia"/>
          <w:snapToGrid w:val="0"/>
          <w:color w:val="000000"/>
          <w:sz w:val="24"/>
          <w:szCs w:val="24"/>
          <w:lang w:val="en-US" w:eastAsia="zh-CN" w:bidi="ar-SA"/>
        </w:rPr>
        <w:t xml:space="preserve">侧板：采用 1.0mm 优质冷轧钢板，分为上、中、下三节，中部采用方型金字塔凸包（塔底 8.5mm×8.5mm）。 </w:t>
      </w:r>
    </w:p>
    <w:p>
      <w:pPr>
        <w:keepNext w:val="0"/>
        <w:keepLines w:val="0"/>
        <w:widowControl/>
        <w:suppressLineNumbers w:val="0"/>
        <w:spacing w:line="360" w:lineRule="auto"/>
        <w:ind w:firstLine="368" w:firstLineChars="0"/>
        <w:jc w:val="left"/>
        <w:rPr>
          <w:rFonts w:hint="eastAsia" w:cs="Times New Roman" w:asciiTheme="minorEastAsia" w:hAnsiTheme="minorEastAsia" w:eastAsiaTheme="minorEastAsia"/>
          <w:snapToGrid w:val="0"/>
          <w:color w:val="000000"/>
          <w:sz w:val="24"/>
          <w:szCs w:val="24"/>
          <w:lang w:val="en-US" w:eastAsia="zh-CN" w:bidi="ar-SA"/>
        </w:rPr>
      </w:pPr>
      <w:r>
        <w:rPr>
          <w:rFonts w:hint="eastAsia" w:cs="Times New Roman" w:asciiTheme="minorEastAsia" w:hAnsiTheme="minorEastAsia" w:eastAsiaTheme="minorEastAsia"/>
          <w:snapToGrid w:val="0"/>
          <w:color w:val="000000"/>
          <w:sz w:val="24"/>
          <w:szCs w:val="24"/>
          <w:lang w:val="en-US" w:eastAsia="zh-CN" w:bidi="ar-SA"/>
        </w:rPr>
        <w:t>档板：采用 1.0mm 的优质冷轧钢板压制成槽型，成型尺寸为 15mm×15mm，四道弯边设计，三面压筋，顶面与侧面圆角过渡，圆角半径为R4，设计为自锁式档条，依靠档条和挂板之间的机械组合达到锁紧功能。</w:t>
      </w:r>
    </w:p>
    <w:p>
      <w:pPr>
        <w:keepNext w:val="0"/>
        <w:keepLines w:val="0"/>
        <w:widowControl/>
        <w:suppressLineNumbers w:val="0"/>
        <w:spacing w:line="360" w:lineRule="auto"/>
        <w:ind w:firstLine="368" w:firstLineChars="0"/>
        <w:jc w:val="left"/>
        <w:rPr>
          <w:rFonts w:hint="eastAsia" w:cs="Times New Roman" w:asciiTheme="minorEastAsia" w:hAnsiTheme="minorEastAsia" w:eastAsiaTheme="minorEastAsia"/>
          <w:snapToGrid w:val="0"/>
          <w:color w:val="000000"/>
          <w:sz w:val="24"/>
          <w:szCs w:val="24"/>
          <w:lang w:val="en-US" w:eastAsia="zh-CN" w:bidi="ar-SA"/>
        </w:rPr>
      </w:pPr>
      <w:r>
        <w:rPr>
          <w:rFonts w:hint="eastAsia" w:cs="Times New Roman" w:asciiTheme="minorEastAsia" w:hAnsiTheme="minorEastAsia" w:eastAsiaTheme="minorEastAsia"/>
          <w:snapToGrid w:val="0"/>
          <w:color w:val="000000"/>
          <w:sz w:val="24"/>
          <w:szCs w:val="24"/>
          <w:lang w:val="en-US" w:eastAsia="zh-CN" w:bidi="ar-SA"/>
        </w:rPr>
        <w:t>传动装置：摇手柄采用钢、锌合金材质，手柄可以自动缓慢折叠，使用轻便、灵活、耐用，可避免通道障碍，摇动任何一列均不会带动其他手柄转动，自动挂档，可单列或多列一起移动。链条采用摩托车链条采用Φ8.5，节距12.7，G12420带短滚珠链，滚珠轴承采用省力型，链条破断力≥1800kg。滚轮采用铸铁工艺，传动轴采用内径Φ20实角45#钢；连接钢管采用内径Φ20无缝钢管；底盘轴承安装采用 P204E 级带座球面轴承，耐压耐磨，中心直线度稳定，在架体滑动时平衡性能稳固、传动轻便灵活，定位可靠摇。摇动时省力，运行平稳，性能达到或超过国家标准，即可单列移动也可多列同时移动。</w:t>
      </w:r>
    </w:p>
    <w:p>
      <w:pPr>
        <w:keepNext w:val="0"/>
        <w:keepLines w:val="0"/>
        <w:widowControl/>
        <w:suppressLineNumbers w:val="0"/>
        <w:spacing w:line="360" w:lineRule="auto"/>
        <w:ind w:firstLine="368" w:firstLineChars="0"/>
        <w:jc w:val="left"/>
        <w:rPr>
          <w:rFonts w:hint="eastAsia" w:cs="Times New Roman" w:asciiTheme="minorEastAsia" w:hAnsiTheme="minorEastAsia" w:eastAsiaTheme="minorEastAsia"/>
          <w:snapToGrid w:val="0"/>
          <w:color w:val="000000"/>
          <w:sz w:val="24"/>
          <w:szCs w:val="24"/>
          <w:lang w:val="en-US" w:eastAsia="zh-CN" w:bidi="ar-SA"/>
        </w:rPr>
      </w:pPr>
      <w:r>
        <w:rPr>
          <w:rFonts w:hint="eastAsia" w:cs="Times New Roman" w:asciiTheme="minorEastAsia" w:hAnsiTheme="minorEastAsia" w:eastAsiaTheme="minorEastAsia"/>
          <w:snapToGrid w:val="0"/>
          <w:color w:val="000000"/>
          <w:sz w:val="24"/>
          <w:szCs w:val="24"/>
          <w:lang w:val="en-US" w:eastAsia="zh-CN" w:bidi="ar-SA"/>
        </w:rPr>
        <w:t xml:space="preserve">制动装置：每列均装有刹车制动装置，使之做到每一列均可锁定，查阅资料和存放文件时能确保人身安全。每一组合团体均装有总锁装置，使之做到每个组合团体都可锁定。 </w:t>
      </w:r>
    </w:p>
    <w:p>
      <w:pPr>
        <w:keepNext w:val="0"/>
        <w:keepLines w:val="0"/>
        <w:widowControl/>
        <w:suppressLineNumbers w:val="0"/>
        <w:spacing w:line="360" w:lineRule="auto"/>
        <w:ind w:firstLine="368" w:firstLineChars="0"/>
        <w:jc w:val="left"/>
        <w:rPr>
          <w:rFonts w:hint="eastAsia" w:cs="Times New Roman" w:asciiTheme="minorEastAsia" w:hAnsiTheme="minorEastAsia" w:eastAsiaTheme="minorEastAsia"/>
          <w:snapToGrid w:val="0"/>
          <w:color w:val="000000"/>
          <w:sz w:val="24"/>
          <w:szCs w:val="24"/>
          <w:lang w:val="en-US" w:eastAsia="zh-CN" w:bidi="ar-SA"/>
        </w:rPr>
      </w:pPr>
      <w:r>
        <w:rPr>
          <w:rFonts w:hint="eastAsia" w:cs="Times New Roman" w:asciiTheme="minorEastAsia" w:hAnsiTheme="minorEastAsia" w:eastAsiaTheme="minorEastAsia"/>
          <w:snapToGrid w:val="0"/>
          <w:color w:val="000000"/>
          <w:sz w:val="24"/>
          <w:szCs w:val="24"/>
          <w:lang w:val="en-US" w:eastAsia="zh-CN" w:bidi="ar-SA"/>
        </w:rPr>
        <w:t>密封装置：列与列之间装有 15mm 特种抗老化 PVC 磁封条，形成两列间的全封闭，顶部有防尘板，每列架体上方安装双面防尘板，要求防尘、防光、防有害气体，底部有防鼠板，合拢后无缝隙，具有良好的防尘、防鼠、防火、防潮等功能。</w:t>
      </w:r>
    </w:p>
    <w:p>
      <w:pPr>
        <w:keepNext w:val="0"/>
        <w:keepLines w:val="0"/>
        <w:widowControl/>
        <w:suppressLineNumbers w:val="0"/>
        <w:spacing w:line="360" w:lineRule="auto"/>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▲（3）表面处理</w:t>
      </w:r>
    </w:p>
    <w:p>
      <w:pPr>
        <w:keepNext w:val="0"/>
        <w:keepLines w:val="0"/>
        <w:widowControl/>
        <w:suppressLineNumbers w:val="0"/>
        <w:spacing w:line="360" w:lineRule="auto"/>
        <w:ind w:firstLine="368" w:firstLineChars="0"/>
        <w:jc w:val="left"/>
      </w:pPr>
      <w:r>
        <w:rPr>
          <w:rFonts w:hint="eastAsia" w:ascii="宋体" w:hAnsi="宋体" w:eastAsia="宋体" w:cs="宋体"/>
          <w:snapToGrid w:val="0"/>
          <w:color w:val="000000"/>
          <w:kern w:val="0"/>
          <w:sz w:val="24"/>
          <w:szCs w:val="24"/>
          <w:lang w:val="en-US" w:eastAsia="zh-CN" w:bidi="ar"/>
        </w:rPr>
        <w:t>成品外观应平整，无波纹、流痕、起泡、孔折痕、污点、露底、剥落、伤痕等可见性缺陷，各零部件及组合件之间应具有互换性。各部零件在涂覆前，必须进行除油、除锈、表调、清洗、磷化、二遍清洗，磷化处理按照 GB/T6807-2001 标准进行，每道工序分槽处理，所用标准件及紧固件均氧化或镀锌处理。</w:t>
      </w:r>
      <w:r>
        <w:rPr>
          <w:rFonts w:hint="eastAsia" w:ascii="宋体" w:hAnsi="宋体" w:eastAsia="宋体" w:cs="宋体"/>
          <w:b/>
          <w:bCs/>
          <w:snapToGrid w:val="0"/>
          <w:color w:val="000000"/>
          <w:kern w:val="0"/>
          <w:sz w:val="24"/>
          <w:szCs w:val="24"/>
          <w:lang w:val="en-US" w:eastAsia="zh-CN" w:bidi="ar"/>
        </w:rPr>
        <w:t xml:space="preserve">（需提供具有 CMA 认证资质的第三方专业检测机构出具耐酸性、耐湿热性、耐盐雾性检测结果为合格的检测报告作为佐证材料。） </w:t>
      </w:r>
    </w:p>
    <w:p>
      <w:pPr>
        <w:keepNext w:val="0"/>
        <w:keepLines w:val="0"/>
        <w:widowControl/>
        <w:numPr>
          <w:ilvl w:val="0"/>
          <w:numId w:val="2"/>
        </w:numPr>
        <w:suppressLineNumbers w:val="0"/>
        <w:spacing w:line="360" w:lineRule="auto"/>
        <w:jc w:val="left"/>
        <w:rPr>
          <w:rFonts w:hint="eastAsia" w:ascii="宋体" w:hAnsi="宋体" w:eastAsia="宋体" w:cs="宋体"/>
          <w:snapToGrid w:val="0"/>
          <w:color w:val="000000"/>
          <w:kern w:val="0"/>
          <w:sz w:val="24"/>
          <w:szCs w:val="24"/>
          <w:lang w:val="en-US" w:eastAsia="zh-CN" w:bidi="ar"/>
        </w:rPr>
      </w:pPr>
      <w:r>
        <w:rPr>
          <w:rFonts w:hint="eastAsia" w:ascii="宋体" w:hAnsi="宋体" w:eastAsia="宋体" w:cs="宋体"/>
          <w:snapToGrid w:val="0"/>
          <w:color w:val="000000"/>
          <w:kern w:val="0"/>
          <w:sz w:val="24"/>
          <w:szCs w:val="24"/>
          <w:lang w:val="en-US" w:eastAsia="zh-CN" w:bidi="ar"/>
        </w:rPr>
        <w:t>防锈处理</w:t>
      </w:r>
    </w:p>
    <w:p>
      <w:pPr>
        <w:keepNext w:val="0"/>
        <w:keepLines w:val="0"/>
        <w:widowControl/>
        <w:numPr>
          <w:ilvl w:val="0"/>
          <w:numId w:val="0"/>
        </w:numPr>
        <w:suppressLineNumbers w:val="0"/>
        <w:spacing w:line="360" w:lineRule="auto"/>
        <w:ind w:firstLine="368" w:firstLineChars="0"/>
        <w:jc w:val="left"/>
      </w:pPr>
      <w:r>
        <w:rPr>
          <w:rFonts w:hint="eastAsia" w:ascii="宋体" w:hAnsi="宋体" w:eastAsia="宋体" w:cs="宋体"/>
          <w:snapToGrid w:val="0"/>
          <w:color w:val="000000"/>
          <w:kern w:val="0"/>
          <w:sz w:val="24"/>
          <w:szCs w:val="24"/>
          <w:lang w:val="en-US" w:eastAsia="zh-CN" w:bidi="ar"/>
        </w:rPr>
        <w:t xml:space="preserve">产品金属架体及配件应采用先进的静电亚光喷塑工艺。使用优质环保涂敷材料，表面均匀光亮，色泽一致、严密、平整、无划伤。塑膜厚度为 60～70μm，漆膜附着力达到 GB1720 中的二级指标以上。塑层防锈能力 20 年以上。 </w:t>
      </w:r>
    </w:p>
    <w:p>
      <w:pPr>
        <w:numPr>
          <w:ilvl w:val="0"/>
          <w:numId w:val="0"/>
        </w:numPr>
        <w:spacing w:line="360" w:lineRule="auto"/>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 xml:space="preserve">▲4、密集架安全性要求 </w:t>
      </w:r>
    </w:p>
    <w:p>
      <w:pPr>
        <w:keepNext w:val="0"/>
        <w:keepLines w:val="0"/>
        <w:widowControl/>
        <w:suppressLineNumbers w:val="0"/>
        <w:spacing w:line="360" w:lineRule="auto"/>
        <w:ind w:firstLine="368" w:firstLineChars="0"/>
        <w:jc w:val="left"/>
      </w:pPr>
      <w:r>
        <w:rPr>
          <w:rFonts w:hint="eastAsia" w:ascii="宋体" w:hAnsi="宋体" w:eastAsia="宋体" w:cs="宋体"/>
          <w:snapToGrid w:val="0"/>
          <w:color w:val="000000"/>
          <w:kern w:val="0"/>
          <w:sz w:val="24"/>
          <w:szCs w:val="24"/>
          <w:lang w:val="en-US" w:eastAsia="zh-CN" w:bidi="ar"/>
        </w:rPr>
        <w:t xml:space="preserve">（1）安全性能指标均应符合直列式密集柜行业标准DA/T7-92和钢制密集柜技术条件GB/T13667.1-2013结构强度要求，每标准节在全负载的情况下，承受沿X、Y轴两个方向额定载荷 1/15 的水平拉力作用，标准节不得翻倒。 </w:t>
      </w:r>
    </w:p>
    <w:p>
      <w:pPr>
        <w:keepNext w:val="0"/>
        <w:keepLines w:val="0"/>
        <w:widowControl/>
        <w:suppressLineNumbers w:val="0"/>
        <w:spacing w:line="360" w:lineRule="auto"/>
        <w:ind w:firstLine="368" w:firstLineChars="0"/>
        <w:jc w:val="left"/>
      </w:pPr>
      <w:r>
        <w:rPr>
          <w:rFonts w:hint="eastAsia" w:ascii="宋体" w:hAnsi="宋体" w:eastAsia="宋体" w:cs="宋体"/>
          <w:snapToGrid w:val="0"/>
          <w:color w:val="000000"/>
          <w:kern w:val="0"/>
          <w:sz w:val="24"/>
          <w:szCs w:val="24"/>
          <w:lang w:val="en-US" w:eastAsia="zh-CN" w:bidi="ar"/>
        </w:rPr>
        <w:t xml:space="preserve">（2）传动装置的性能应转动灵活、平稳，不得有失灵现象。 </w:t>
      </w:r>
    </w:p>
    <w:p>
      <w:pPr>
        <w:keepNext w:val="0"/>
        <w:keepLines w:val="0"/>
        <w:widowControl/>
        <w:suppressLineNumbers w:val="0"/>
        <w:spacing w:line="360" w:lineRule="auto"/>
        <w:ind w:firstLine="368" w:firstLineChars="0"/>
        <w:jc w:val="left"/>
      </w:pPr>
      <w:r>
        <w:rPr>
          <w:rFonts w:hint="eastAsia" w:ascii="宋体" w:hAnsi="宋体" w:eastAsia="宋体" w:cs="宋体"/>
          <w:snapToGrid w:val="0"/>
          <w:color w:val="000000"/>
          <w:kern w:val="0"/>
          <w:sz w:val="24"/>
          <w:szCs w:val="24"/>
          <w:lang w:val="en-US" w:eastAsia="zh-CN" w:bidi="ar"/>
        </w:rPr>
        <w:t xml:space="preserve">（3）活动架列均应安装防倾倒装置。 </w:t>
      </w:r>
    </w:p>
    <w:p>
      <w:pPr>
        <w:keepNext w:val="0"/>
        <w:keepLines w:val="0"/>
        <w:widowControl/>
        <w:suppressLineNumbers w:val="0"/>
        <w:spacing w:line="360" w:lineRule="auto"/>
        <w:ind w:firstLine="368" w:firstLineChars="0"/>
        <w:jc w:val="left"/>
      </w:pPr>
      <w:r>
        <w:rPr>
          <w:rFonts w:hint="eastAsia" w:ascii="宋体" w:hAnsi="宋体" w:eastAsia="宋体" w:cs="宋体"/>
          <w:snapToGrid w:val="0"/>
          <w:color w:val="000000"/>
          <w:kern w:val="0"/>
          <w:sz w:val="24"/>
          <w:szCs w:val="24"/>
          <w:lang w:val="en-US" w:eastAsia="zh-CN" w:bidi="ar"/>
        </w:rPr>
        <w:t>（4）限位：导轨上应安装限位装置。</w:t>
      </w:r>
    </w:p>
    <w:p>
      <w:pPr>
        <w:keepNext w:val="0"/>
        <w:keepLines w:val="0"/>
        <w:widowControl/>
        <w:suppressLineNumbers w:val="0"/>
        <w:spacing w:line="360" w:lineRule="auto"/>
        <w:ind w:firstLine="368" w:firstLineChars="0"/>
        <w:jc w:val="left"/>
      </w:pPr>
      <w:r>
        <w:rPr>
          <w:rFonts w:hint="eastAsia" w:ascii="宋体" w:hAnsi="宋体" w:eastAsia="宋体" w:cs="宋体"/>
          <w:snapToGrid w:val="0"/>
          <w:color w:val="000000"/>
          <w:kern w:val="0"/>
          <w:sz w:val="24"/>
          <w:szCs w:val="24"/>
          <w:lang w:val="en-US" w:eastAsia="zh-CN" w:bidi="ar"/>
        </w:rPr>
        <w:t xml:space="preserve">（5）固定：导轨与地面应有固定装置，固定架列应有固定装置。 </w:t>
      </w:r>
    </w:p>
    <w:p>
      <w:pPr>
        <w:keepNext w:val="0"/>
        <w:keepLines w:val="0"/>
        <w:widowControl/>
        <w:suppressLineNumbers w:val="0"/>
        <w:spacing w:line="360" w:lineRule="auto"/>
        <w:jc w:val="left"/>
      </w:pPr>
      <w:r>
        <w:rPr>
          <w:rFonts w:hint="eastAsia" w:ascii="宋体" w:hAnsi="宋体" w:eastAsia="宋体" w:cs="宋体"/>
          <w:b/>
          <w:bCs/>
          <w:snapToGrid w:val="0"/>
          <w:color w:val="000000"/>
          <w:kern w:val="0"/>
          <w:sz w:val="24"/>
          <w:szCs w:val="24"/>
          <w:lang w:val="en-US" w:eastAsia="zh-CN" w:bidi="ar"/>
        </w:rPr>
        <w:t xml:space="preserve">（提供产品的安全性检测合格报告并加盖厂家公章） </w:t>
      </w:r>
    </w:p>
    <w:p>
      <w:pPr>
        <w:keepNext w:val="0"/>
        <w:keepLines w:val="0"/>
        <w:widowControl/>
        <w:suppressLineNumbers w:val="0"/>
        <w:spacing w:line="360" w:lineRule="auto"/>
        <w:jc w:val="left"/>
      </w:pPr>
      <w:r>
        <w:rPr>
          <w:rFonts w:hint="eastAsia" w:ascii="宋体" w:hAnsi="宋体" w:eastAsia="宋体" w:cs="宋体"/>
          <w:snapToGrid w:val="0"/>
          <w:color w:val="000000"/>
          <w:kern w:val="0"/>
          <w:sz w:val="24"/>
          <w:szCs w:val="24"/>
          <w:lang w:val="en-US" w:eastAsia="zh-CN" w:bidi="ar"/>
        </w:rPr>
        <w:t>▲</w:t>
      </w:r>
      <w:r>
        <w:rPr>
          <w:rFonts w:hint="eastAsia" w:asciiTheme="minorEastAsia" w:hAnsiTheme="minorEastAsia" w:eastAsiaTheme="minorEastAsia"/>
          <w:sz w:val="28"/>
          <w:szCs w:val="28"/>
          <w:lang w:val="en-US" w:eastAsia="zh-CN"/>
        </w:rPr>
        <w:t>5、密集架载重性能要求</w:t>
      </w:r>
      <w:r>
        <w:rPr>
          <w:rFonts w:hint="eastAsia" w:ascii="宋体" w:hAnsi="宋体" w:eastAsia="宋体" w:cs="宋体"/>
          <w:b/>
          <w:bCs/>
          <w:snapToGrid w:val="0"/>
          <w:color w:val="000000"/>
          <w:kern w:val="0"/>
          <w:sz w:val="24"/>
          <w:szCs w:val="24"/>
          <w:lang w:val="en-US" w:eastAsia="zh-CN" w:bidi="ar"/>
        </w:rPr>
        <w:t xml:space="preserve"> </w:t>
      </w:r>
    </w:p>
    <w:p>
      <w:pPr>
        <w:keepNext w:val="0"/>
        <w:keepLines w:val="0"/>
        <w:widowControl/>
        <w:suppressLineNumbers w:val="0"/>
        <w:spacing w:line="360" w:lineRule="auto"/>
        <w:ind w:firstLine="368" w:firstLineChars="0"/>
        <w:jc w:val="left"/>
      </w:pPr>
      <w:r>
        <w:rPr>
          <w:rFonts w:hint="eastAsia" w:ascii="宋体" w:hAnsi="宋体" w:eastAsia="宋体" w:cs="宋体"/>
          <w:snapToGrid w:val="0"/>
          <w:color w:val="000000"/>
          <w:kern w:val="0"/>
          <w:sz w:val="24"/>
          <w:szCs w:val="24"/>
          <w:lang w:val="en-US" w:eastAsia="zh-CN" w:bidi="ar"/>
        </w:rPr>
        <w:t xml:space="preserve">（1）搁板载重：搁板负载载重100kg，最大挠度3mm，24小时卸载后，不得出现裂痕及钢性变形，残余变形量不大于0.3mm。 </w:t>
      </w:r>
    </w:p>
    <w:p>
      <w:pPr>
        <w:keepNext w:val="0"/>
        <w:keepLines w:val="0"/>
        <w:widowControl/>
        <w:suppressLineNumbers w:val="0"/>
        <w:spacing w:line="360" w:lineRule="auto"/>
        <w:ind w:firstLine="368" w:firstLineChars="0"/>
        <w:jc w:val="left"/>
      </w:pPr>
      <w:r>
        <w:rPr>
          <w:rFonts w:hint="eastAsia" w:ascii="宋体" w:hAnsi="宋体" w:eastAsia="宋体" w:cs="宋体"/>
          <w:snapToGrid w:val="0"/>
          <w:color w:val="000000"/>
          <w:kern w:val="0"/>
          <w:sz w:val="24"/>
          <w:szCs w:val="24"/>
          <w:lang w:val="en-US" w:eastAsia="zh-CN" w:bidi="ar"/>
        </w:rPr>
        <w:t xml:space="preserve">（2）全负载载重：每标准节在全负载（搁板均匀载重 80kg）的情况下，架体、立柱不应有明显变形，架体不应产生倾倒现象。 </w:t>
      </w:r>
    </w:p>
    <w:p>
      <w:pPr>
        <w:keepNext w:val="0"/>
        <w:keepLines w:val="0"/>
        <w:widowControl/>
        <w:suppressLineNumbers w:val="0"/>
        <w:spacing w:line="360" w:lineRule="auto"/>
        <w:ind w:firstLine="368" w:firstLineChars="0"/>
        <w:jc w:val="left"/>
      </w:pPr>
      <w:r>
        <w:rPr>
          <w:rFonts w:hint="eastAsia" w:ascii="宋体" w:hAnsi="宋体" w:eastAsia="宋体" w:cs="宋体"/>
          <w:snapToGrid w:val="0"/>
          <w:color w:val="000000"/>
          <w:kern w:val="0"/>
          <w:sz w:val="24"/>
          <w:szCs w:val="24"/>
          <w:lang w:val="en-US" w:eastAsia="zh-CN" w:bidi="ar"/>
        </w:rPr>
        <w:t xml:space="preserve">（3）载重运行：在全负载的情况下，各列密集架在手动操纵下，都应运行自如，不得有阻滞现象。每标准节手动摇力应不大于 11.8N（每列密集架的手柄摇力为：11.8N×标准节数）。 </w:t>
      </w:r>
    </w:p>
    <w:p>
      <w:pPr>
        <w:keepNext w:val="0"/>
        <w:keepLines w:val="0"/>
        <w:widowControl/>
        <w:suppressLineNumbers w:val="0"/>
        <w:spacing w:line="360" w:lineRule="auto"/>
        <w:jc w:val="left"/>
        <w:rPr>
          <w:rFonts w:hint="eastAsia" w:ascii="宋体" w:hAnsi="宋体" w:eastAsia="宋体" w:cs="宋体"/>
          <w:b/>
          <w:bCs/>
          <w:snapToGrid w:val="0"/>
          <w:color w:val="000000"/>
          <w:kern w:val="0"/>
          <w:sz w:val="24"/>
          <w:szCs w:val="24"/>
          <w:lang w:val="en-US" w:eastAsia="zh-CN" w:bidi="ar"/>
        </w:rPr>
      </w:pPr>
      <w:r>
        <w:rPr>
          <w:rFonts w:hint="eastAsia" w:ascii="宋体" w:hAnsi="宋体" w:eastAsia="宋体" w:cs="宋体"/>
          <w:b/>
          <w:bCs/>
          <w:snapToGrid w:val="0"/>
          <w:color w:val="000000"/>
          <w:kern w:val="0"/>
          <w:sz w:val="24"/>
          <w:szCs w:val="24"/>
          <w:lang w:val="en-US" w:eastAsia="zh-CN" w:bidi="ar"/>
        </w:rPr>
        <w:t xml:space="preserve">（对于承重数据须提供具有 CMA 认证资质的第三方专业检测机构出具符合要求的检测报告作为佐证材料。） </w:t>
      </w:r>
    </w:p>
    <w:p>
      <w:pPr>
        <w:keepNext w:val="0"/>
        <w:keepLines w:val="0"/>
        <w:widowControl/>
        <w:suppressLineNumbers w:val="0"/>
        <w:spacing w:line="360" w:lineRule="auto"/>
        <w:jc w:val="left"/>
        <w:rPr>
          <w:rFonts w:hint="eastAsia" w:ascii="宋体" w:hAnsi="宋体" w:eastAsia="宋体" w:cs="宋体"/>
          <w:b/>
          <w:bCs/>
          <w:snapToGrid w:val="0"/>
          <w:color w:val="000000"/>
          <w:kern w:val="0"/>
          <w:sz w:val="24"/>
          <w:szCs w:val="24"/>
          <w:lang w:val="en-US" w:eastAsia="zh-CN" w:bidi="ar"/>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B9B0FB"/>
    <w:multiLevelType w:val="multilevel"/>
    <w:tmpl w:val="83B9B0FB"/>
    <w:lvl w:ilvl="0" w:tentative="0">
      <w:start w:val="4"/>
      <w:numFmt w:val="decimal"/>
      <w:suff w:val="nothing"/>
      <w:lvlText w:val="（%1）"/>
      <w:lvlJc w:val="left"/>
    </w:lvl>
    <w:lvl w:ilvl="1" w:tentative="0">
      <w:start w:val="1"/>
      <w:numFmt w:val="decimalEnclosedCircleChinese"/>
      <w:lvlText w:val="%2"/>
      <w:lvlJc w:val="left"/>
      <w:pPr>
        <w:tabs>
          <w:tab w:val="left" w:pos="840"/>
        </w:tabs>
        <w:ind w:left="840" w:leftChars="0" w:hanging="420" w:firstLineChars="0"/>
      </w:pPr>
      <w:rPr>
        <w:rFonts w:hint="default"/>
      </w:rPr>
    </w:lvl>
    <w:lvl w:ilvl="2" w:tentative="0">
      <w:start w:val="1"/>
      <w:numFmt w:val="decimal"/>
      <w:lvlText w:val="%3)"/>
      <w:lvlJc w:val="left"/>
      <w:pPr>
        <w:tabs>
          <w:tab w:val="left" w:pos="1260"/>
        </w:tabs>
        <w:ind w:left="1260" w:leftChars="0" w:hanging="420" w:firstLineChars="0"/>
      </w:pPr>
      <w:rPr>
        <w:rFonts w:hint="default"/>
      </w:rPr>
    </w:lvl>
    <w:lvl w:ilvl="3" w:tentative="0">
      <w:start w:val="1"/>
      <w:numFmt w:val="lowerLetter"/>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94650232"/>
    <w:multiLevelType w:val="singleLevel"/>
    <w:tmpl w:val="94650232"/>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yZDJmNGQ2NmNjYWVmYmQ2NjlkNWYxY2VlMDc2YTUifQ=="/>
  </w:docVars>
  <w:rsids>
    <w:rsidRoot w:val="5CFE3D28"/>
    <w:rsid w:val="22623FCE"/>
    <w:rsid w:val="23ED3D6C"/>
    <w:rsid w:val="334C5DB8"/>
    <w:rsid w:val="3A7D77A0"/>
    <w:rsid w:val="456A4DC4"/>
    <w:rsid w:val="4B0D06CC"/>
    <w:rsid w:val="54EC75A4"/>
    <w:rsid w:val="5CFE3D28"/>
    <w:rsid w:val="5ED2780B"/>
    <w:rsid w:val="6B557B0C"/>
    <w:rsid w:val="7E5971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header"/>
    <w:basedOn w:val="1"/>
    <w:qFormat/>
    <w:uiPriority w:val="0"/>
    <w:pPr>
      <w:pBdr>
        <w:bottom w:val="single" w:color="auto" w:sz="6" w:space="1"/>
      </w:pBdr>
      <w:tabs>
        <w:tab w:val="center" w:pos="4153"/>
        <w:tab w:val="right" w:pos="8306"/>
      </w:tabs>
      <w:jc w:val="center"/>
    </w:pPr>
    <w:rPr>
      <w:rFonts w:ascii="Calibri" w:hAnsi="Calibri" w:eastAsia="宋体" w:cs="Times New Roman"/>
      <w:sz w:val="18"/>
      <w:szCs w:val="18"/>
    </w:rPr>
  </w:style>
  <w:style w:type="paragraph" w:styleId="3">
    <w:name w:val="toc 1"/>
    <w:basedOn w:val="1"/>
    <w:next w:val="1"/>
    <w:qFormat/>
    <w:uiPriority w:val="39"/>
    <w:rPr>
      <w:rFonts w:ascii="Calibri" w:hAnsi="Calibri" w:eastAsia="宋体" w:cs="Times New Roman"/>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2024-07-16T08:35:00Z</dcterms:created>
  <dc:creator>颜陌</dc:creator>
  <cp:lastModifiedBy>颜陌</cp:lastModifiedBy>
  <dcterms:modified xsi:type="dcterms:W3CDTF">2024-07-16T08:43:24Z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4C1CF5C0467A4CF080AFEAE72D4F321C_11</vt:lpwstr>
  </property>
</Properties>
</file>