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F92E">
      <w:pPr>
        <w:pStyle w:val="7"/>
        <w:tabs>
          <w:tab w:val="left" w:pos="1260"/>
        </w:tabs>
        <w:spacing w:line="360" w:lineRule="auto"/>
        <w:rPr>
          <w:rFonts w:cs="宋体" w:asciiTheme="minorEastAsia" w:hAnsiTheme="minorEastAsia" w:eastAsiaTheme="minorEastAsia"/>
          <w:b/>
          <w:spacing w:val="100"/>
          <w:w w:val="110"/>
          <w:sz w:val="72"/>
          <w:szCs w:val="72"/>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3"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工作电脑/Desktop/医院文表/广东省工人医院1.png广东省工人医院1"/>
                    <pic:cNvPicPr>
                      <a:picLocks noChangeAspect="1"/>
                    </pic:cNvPicPr>
                  </pic:nvPicPr>
                  <pic:blipFill>
                    <a:blip r:embed="rId9"/>
                    <a:srcRect t="496" b="496"/>
                    <a:stretch>
                      <a:fillRect/>
                    </a:stretch>
                  </pic:blipFill>
                  <pic:spPr>
                    <a:xfrm>
                      <a:off x="0" y="0"/>
                      <a:ext cx="5172710" cy="904875"/>
                    </a:xfrm>
                    <a:prstGeom prst="rect">
                      <a:avLst/>
                    </a:prstGeom>
                    <a:noFill/>
                    <a:ln>
                      <a:noFill/>
                    </a:ln>
                  </pic:spPr>
                </pic:pic>
              </a:graphicData>
            </a:graphic>
          </wp:inline>
        </w:drawing>
      </w:r>
    </w:p>
    <w:p w14:paraId="3EC3C397">
      <w:pPr>
        <w:pStyle w:val="7"/>
        <w:tabs>
          <w:tab w:val="left" w:pos="1260"/>
        </w:tabs>
        <w:spacing w:line="360" w:lineRule="auto"/>
        <w:jc w:val="center"/>
        <w:rPr>
          <w:rFonts w:hint="eastAsia" w:cs="宋体" w:asciiTheme="minorEastAsia" w:hAnsiTheme="minorEastAsia" w:eastAsiaTheme="minorEastAsia"/>
          <w:b/>
          <w:spacing w:val="100"/>
          <w:w w:val="110"/>
          <w:sz w:val="72"/>
          <w:szCs w:val="72"/>
          <w:lang w:val="en-US" w:eastAsia="zh-CN"/>
        </w:rPr>
      </w:pPr>
    </w:p>
    <w:p w14:paraId="6E8B1933">
      <w:pPr>
        <w:pStyle w:val="7"/>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6"/>
        <w:spacing w:line="360" w:lineRule="auto"/>
        <w:ind w:firstLine="967" w:firstLineChars="344"/>
        <w:rPr>
          <w:rFonts w:cs="宋体" w:asciiTheme="minorEastAsia" w:hAnsiTheme="minorEastAsia" w:eastAsiaTheme="minorEastAsia"/>
          <w:b/>
          <w:sz w:val="28"/>
          <w:szCs w:val="28"/>
        </w:rPr>
      </w:pPr>
    </w:p>
    <w:p w14:paraId="34DA274F">
      <w:pPr>
        <w:pStyle w:val="6"/>
        <w:spacing w:line="360" w:lineRule="auto"/>
        <w:ind w:firstLine="967" w:firstLineChars="344"/>
        <w:rPr>
          <w:rFonts w:cs="宋体" w:asciiTheme="minorEastAsia" w:hAnsiTheme="minorEastAsia" w:eastAsiaTheme="minorEastAsia"/>
          <w:b/>
          <w:sz w:val="28"/>
          <w:szCs w:val="28"/>
        </w:rPr>
      </w:pPr>
    </w:p>
    <w:p w14:paraId="1018CF63">
      <w:pPr>
        <w:pStyle w:val="6"/>
        <w:spacing w:line="360" w:lineRule="auto"/>
        <w:ind w:firstLine="967" w:firstLineChars="344"/>
        <w:rPr>
          <w:rFonts w:cs="宋体" w:asciiTheme="minorEastAsia" w:hAnsiTheme="minorEastAsia" w:eastAsiaTheme="minorEastAsia"/>
          <w:b/>
          <w:sz w:val="28"/>
          <w:szCs w:val="28"/>
        </w:rPr>
      </w:pPr>
    </w:p>
    <w:p w14:paraId="5EF8E956">
      <w:pPr>
        <w:pStyle w:val="6"/>
        <w:spacing w:line="360" w:lineRule="auto"/>
        <w:ind w:firstLine="967" w:firstLineChars="344"/>
        <w:rPr>
          <w:rFonts w:cs="宋体" w:asciiTheme="minorEastAsia" w:hAnsiTheme="minorEastAsia" w:eastAsiaTheme="minorEastAsia"/>
          <w:b/>
          <w:sz w:val="28"/>
          <w:szCs w:val="28"/>
        </w:rPr>
      </w:pPr>
    </w:p>
    <w:p w14:paraId="52EEC883">
      <w:pPr>
        <w:pStyle w:val="6"/>
        <w:spacing w:line="360" w:lineRule="auto"/>
        <w:ind w:firstLine="967" w:firstLineChars="344"/>
        <w:rPr>
          <w:rFonts w:cs="宋体" w:asciiTheme="minorEastAsia" w:hAnsiTheme="minorEastAsia" w:eastAsiaTheme="minorEastAsia"/>
          <w:b/>
          <w:sz w:val="28"/>
          <w:szCs w:val="28"/>
        </w:rPr>
      </w:pPr>
    </w:p>
    <w:p w14:paraId="3D64F146">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广东省工人医院洗涤服务采购项目</w:t>
      </w:r>
    </w:p>
    <w:p w14:paraId="657308A2">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6"/>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2B107522">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14:paraId="56D64A32">
      <w:pPr>
        <w:rPr>
          <w:rFonts w:asciiTheme="minorEastAsia" w:hAnsiTheme="minorEastAsia" w:eastAsiaTheme="minorEastAsia"/>
          <w:b/>
          <w:bCs/>
          <w:sz w:val="32"/>
          <w:szCs w:val="32"/>
        </w:rPr>
      </w:pP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3941C62C">
      <w:pPr>
        <w:pStyle w:val="10"/>
        <w:spacing w:line="360" w:lineRule="auto"/>
        <w:rPr>
          <w:rFonts w:asciiTheme="minorEastAsia" w:hAnsiTheme="minorEastAsia" w:eastAsiaTheme="minorEastAsia"/>
        </w:rPr>
      </w:pPr>
    </w:p>
    <w:p w14:paraId="4C7A5A25">
      <w:pPr>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1.本项目严禁各供应商进行恶意串通、恶意竞争或其它违规行为。</w:t>
      </w:r>
    </w:p>
    <w:p w14:paraId="69746B52">
      <w:pPr>
        <w:pStyle w:val="10"/>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2.供应商需为本次提交的所有资料真实性负责。</w:t>
      </w:r>
    </w:p>
    <w:p w14:paraId="741CAC9D">
      <w:pPr>
        <w:spacing w:line="360" w:lineRule="auto"/>
        <w:rPr>
          <w:rFonts w:hint="default" w:asciiTheme="minorEastAsia" w:hAnsiTheme="minorEastAsia" w:eastAsiaTheme="minorEastAsia"/>
          <w:lang w:val="en-US" w:eastAsia="zh-CN"/>
        </w:rPr>
      </w:pPr>
    </w:p>
    <w:p w14:paraId="3E55E5DA">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14:paraId="2BDB903B">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bookmarkStart w:id="2" w:name="_Toc133103939"/>
          <w:r>
            <w:rPr>
              <w:rFonts w:hint="eastAsia" w:cs="宋体" w:asciiTheme="minorEastAsia" w:hAnsiTheme="minorEastAsia" w:eastAsiaTheme="minorEastAsia"/>
              <w:b/>
              <w:bCs/>
              <w:sz w:val="40"/>
              <w:szCs w:val="40"/>
            </w:rPr>
            <w:t>目录</w:t>
          </w:r>
        </w:p>
        <w:p w14:paraId="3F3F74CC">
          <w:pPr>
            <w:pStyle w:val="10"/>
            <w:rPr>
              <w:rFonts w:eastAsia="宋体"/>
              <w:b w:val="0"/>
              <w:smallCaps w:val="0"/>
              <w:sz w:val="28"/>
            </w:rPr>
          </w:pPr>
        </w:p>
        <w:p w14:paraId="2670C40D">
          <w:pPr>
            <w:pStyle w:val="10"/>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F7367D5">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二、 项目</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mallCaps w:val="0"/>
              <w:spacing w:val="10"/>
              <w:sz w:val="28"/>
              <w:szCs w:val="28"/>
            </w:rPr>
            <w:fldChar w:fldCharType="end"/>
          </w:r>
        </w:p>
        <w:p w14:paraId="712B80DA">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2298EF27">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服务团队</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79094DEF">
          <w:pPr>
            <w:pStyle w:val="10"/>
            <w:tabs>
              <w:tab w:val="right" w:leader="dot" w:pos="8304"/>
            </w:tabs>
            <w:rPr>
              <w:rFonts w:hint="eastAsia"/>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洗衣工厂设计布局图片及介绍</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5318784F">
          <w:pPr>
            <w:pStyle w:val="10"/>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lang w:val="en-US" w:eastAsia="zh-CN"/>
            </w:rPr>
            <w:t>六</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近一年同类项目业绩（后附成交合同附件关键页）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bCs/>
              <w:smallCaps w:val="0"/>
              <w:spacing w:val="10"/>
              <w:sz w:val="28"/>
              <w:szCs w:val="28"/>
            </w:rPr>
            <w:fldChar w:fldCharType="end"/>
          </w:r>
        </w:p>
        <w:p w14:paraId="157BE5E9">
          <w:pPr>
            <w:rPr>
              <w:rFonts w:hint="eastAsia"/>
            </w:rPr>
          </w:pPr>
        </w:p>
        <w:p w14:paraId="21C0A3F0">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mallCaps w:val="0"/>
              <w:spacing w:val="10"/>
              <w:sz w:val="28"/>
              <w:szCs w:val="28"/>
            </w:rPr>
            <w:fldChar w:fldCharType="end"/>
          </w:r>
        </w:p>
      </w:sdtContent>
    </w:sdt>
    <w:p w14:paraId="61AEB8DD">
      <w:pPr>
        <w:pStyle w:val="2"/>
        <w:bidi w:val="0"/>
        <w:rPr>
          <w:rFonts w:hint="eastAsia"/>
          <w:lang w:val="en-US" w:eastAsia="zh-CN"/>
        </w:rPr>
      </w:pPr>
      <w:bookmarkStart w:id="3" w:name="_Toc12714"/>
      <w:r>
        <w:rPr>
          <w:rFonts w:hint="eastAsia"/>
          <w:lang w:val="en-US" w:eastAsia="zh-CN"/>
        </w:rPr>
        <w:t>供应商要求、</w:t>
      </w:r>
      <w:r>
        <w:rPr>
          <w:rFonts w:hint="eastAsia"/>
        </w:rPr>
        <w:t>营业执照</w:t>
      </w:r>
      <w:bookmarkEnd w:id="2"/>
      <w:r>
        <w:rPr>
          <w:rFonts w:hint="eastAsia"/>
          <w:lang w:val="en-US" w:eastAsia="zh-CN"/>
        </w:rPr>
        <w:t>及相关资质证书</w:t>
      </w:r>
      <w:bookmarkEnd w:id="3"/>
    </w:p>
    <w:p w14:paraId="156E6345">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一</w:t>
      </w: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供应商要求</w:t>
      </w:r>
    </w:p>
    <w:p w14:paraId="6B2A3D4A">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1、在中华人民共和国境内注册的具有独立承担民事责任能力的法人或其他组织；</w:t>
      </w:r>
    </w:p>
    <w:p w14:paraId="59E7CF58">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2、单位负责人为同一人或者存在直接控股、管理关系的不同供应商，不得参加同一项目报价，一经发现按废标处理并标记为不诚信供应商，须出具声明函；</w:t>
      </w:r>
    </w:p>
    <w:p w14:paraId="591D8714">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3、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6D11822">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4、依法取得中华人民共和国境内注册的营业执照（或事业单位法人证书，或社会团体法人登记证书，或执业许可证）、组织机构代码证和税务登记证，须提供证书扫描件；</w:t>
      </w:r>
    </w:p>
    <w:p w14:paraId="7DD45F78">
      <w:pPr>
        <w:pStyle w:val="10"/>
        <w:numPr>
          <w:ilvl w:val="0"/>
          <w:numId w:val="0"/>
        </w:numPr>
        <w:spacing w:line="360" w:lineRule="auto"/>
        <w:rPr>
          <w:rFonts w:hint="default"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5、投标人具有行政主管部门颁发的有效《排污许可证》（有效期内），或在《全国排污许可证管理信息平台》网上申报并获得登记编号和《固定污染源排污登记回执》（有效期内），投标时须提供《排污许可证》复印件（或《全国排污许可证管理信息平台》网上截图）及《固定污染源排污登记回执》。（如国家另有规定的，适用其规定）；</w:t>
      </w:r>
    </w:p>
    <w:p w14:paraId="00E983F8">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val="en-US" w:eastAsia="zh-CN"/>
        </w:rPr>
        <w:t>6、具有行政主管部门颁发的有效的《城镇污水排入排水管网许可证》（有效期内），投标人自身具有的，投标时须提供《城镇污水排入排水管网许可证》复印件；非投标人自身具有的，需要提供城镇污水排入排水管网许可证持有者与投标人的关系说明。（如国家另有规定的，适用其规定）；</w:t>
      </w:r>
    </w:p>
    <w:p w14:paraId="54ACABA8">
      <w:pPr>
        <w:pStyle w:val="10"/>
        <w:numPr>
          <w:ilvl w:val="0"/>
          <w:numId w:val="0"/>
        </w:numPr>
        <w:spacing w:line="360" w:lineRule="auto"/>
        <w:rPr>
          <w:rFonts w:hint="eastAsia" w:ascii="仿宋" w:hAnsi="仿宋" w:eastAsia="仿宋" w:cs="仿宋"/>
          <w:b w:val="0"/>
          <w:bCs/>
          <w:smallCaps w:val="0"/>
          <w:spacing w:val="10"/>
          <w:sz w:val="24"/>
          <w:szCs w:val="24"/>
        </w:rPr>
      </w:pPr>
      <w:r>
        <w:rPr>
          <w:rFonts w:hint="eastAsia" w:ascii="仿宋" w:hAnsi="仿宋" w:eastAsia="仿宋" w:cs="仿宋"/>
          <w:b w:val="0"/>
          <w:bCs/>
          <w:smallCaps w:val="0"/>
          <w:spacing w:val="10"/>
          <w:sz w:val="24"/>
          <w:szCs w:val="24"/>
          <w:lang w:eastAsia="zh-CN"/>
        </w:rPr>
        <w:t>（二）</w:t>
      </w:r>
      <w:r>
        <w:rPr>
          <w:rFonts w:hint="eastAsia" w:ascii="仿宋" w:hAnsi="仿宋" w:eastAsia="仿宋" w:cs="仿宋"/>
          <w:sz w:val="24"/>
          <w:szCs w:val="24"/>
          <w:lang w:val="en-US" w:eastAsia="zh-CN"/>
        </w:rPr>
        <w:t>营业执照</w:t>
      </w:r>
      <w:r>
        <w:rPr>
          <w:rFonts w:hint="eastAsia" w:ascii="仿宋" w:hAnsi="仿宋" w:eastAsia="仿宋" w:cs="仿宋"/>
          <w:b w:val="0"/>
          <w:bCs/>
          <w:smallCaps w:val="0"/>
          <w:spacing w:val="10"/>
          <w:sz w:val="24"/>
          <w:szCs w:val="24"/>
        </w:rPr>
        <w:t>复印件（加盖供应商单位公章）</w:t>
      </w:r>
    </w:p>
    <w:p w14:paraId="598FF916">
      <w:pPr>
        <w:pStyle w:val="10"/>
        <w:numPr>
          <w:ilvl w:val="0"/>
          <w:numId w:val="0"/>
        </w:numPr>
        <w:spacing w:line="360" w:lineRule="auto"/>
        <w:ind w:leftChars="0"/>
        <w:rPr>
          <w:rFonts w:hint="eastAsia" w:ascii="仿宋" w:hAnsi="仿宋" w:eastAsia="仿宋" w:cs="仿宋"/>
          <w:snapToGrid w:val="0"/>
          <w:color w:val="000000"/>
          <w:spacing w:val="-11"/>
          <w:sz w:val="24"/>
          <w:szCs w:val="24"/>
          <w:lang w:val="en-US" w:eastAsia="zh-CN" w:bidi="ar-SA"/>
        </w:rPr>
      </w:pP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三</w:t>
      </w:r>
      <w:r>
        <w:rPr>
          <w:rFonts w:hint="eastAsia" w:ascii="仿宋" w:hAnsi="仿宋" w:eastAsia="仿宋" w:cs="仿宋"/>
          <w:b w:val="0"/>
          <w:bCs/>
          <w:smallCaps w:val="0"/>
          <w:spacing w:val="10"/>
          <w:sz w:val="24"/>
          <w:szCs w:val="24"/>
          <w:lang w:eastAsia="zh-CN"/>
        </w:rPr>
        <w:t>）</w:t>
      </w:r>
      <w:r>
        <w:rPr>
          <w:rFonts w:hint="eastAsia" w:ascii="仿宋" w:hAnsi="仿宋" w:eastAsia="仿宋" w:cs="仿宋"/>
          <w:snapToGrid w:val="0"/>
          <w:color w:val="000000"/>
          <w:spacing w:val="-11"/>
          <w:sz w:val="24"/>
          <w:szCs w:val="24"/>
          <w:lang w:val="en-US" w:eastAsia="zh-CN" w:bidi="ar-SA"/>
        </w:rPr>
        <w:t>企业相关资质认证证书（附证书复印件加盖公章）</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7173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95D1B6B">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05925E69">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C15E185">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548E8CA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181C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DD96C69">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D83E89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942B07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8463CE3">
            <w:pPr>
              <w:widowControl w:val="0"/>
              <w:jc w:val="center"/>
              <w:rPr>
                <w:rFonts w:hint="eastAsia" w:ascii="仿宋" w:hAnsi="仿宋" w:eastAsia="仿宋" w:cs="仿宋"/>
                <w:sz w:val="24"/>
                <w:szCs w:val="24"/>
                <w:vertAlign w:val="baseline"/>
                <w:lang w:val="en-US" w:eastAsia="zh-CN"/>
              </w:rPr>
            </w:pPr>
          </w:p>
        </w:tc>
      </w:tr>
      <w:tr w14:paraId="6F35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896A5EF">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0EF5CB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65B5D68">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3B52C5F">
            <w:pPr>
              <w:widowControl w:val="0"/>
              <w:jc w:val="center"/>
              <w:rPr>
                <w:rFonts w:hint="eastAsia" w:ascii="仿宋" w:hAnsi="仿宋" w:eastAsia="仿宋" w:cs="仿宋"/>
                <w:sz w:val="24"/>
                <w:szCs w:val="24"/>
                <w:vertAlign w:val="baseline"/>
                <w:lang w:val="en-US" w:eastAsia="zh-CN"/>
              </w:rPr>
            </w:pPr>
          </w:p>
        </w:tc>
      </w:tr>
      <w:tr w14:paraId="507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321ACE">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B6265A3">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0E567B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BB555F0">
            <w:pPr>
              <w:widowControl w:val="0"/>
              <w:jc w:val="center"/>
              <w:rPr>
                <w:rFonts w:hint="eastAsia" w:ascii="仿宋" w:hAnsi="仿宋" w:eastAsia="仿宋" w:cs="仿宋"/>
                <w:sz w:val="24"/>
                <w:szCs w:val="24"/>
                <w:vertAlign w:val="baseline"/>
                <w:lang w:val="en-US" w:eastAsia="zh-CN"/>
              </w:rPr>
            </w:pPr>
          </w:p>
        </w:tc>
      </w:tr>
      <w:tr w14:paraId="3101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C91505E">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778348D">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BDF509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2D17176F">
            <w:pPr>
              <w:widowControl w:val="0"/>
              <w:jc w:val="center"/>
              <w:rPr>
                <w:rFonts w:hint="eastAsia" w:ascii="仿宋" w:hAnsi="仿宋" w:eastAsia="仿宋" w:cs="仿宋"/>
                <w:sz w:val="24"/>
                <w:szCs w:val="24"/>
                <w:vertAlign w:val="baseline"/>
                <w:lang w:val="en-US" w:eastAsia="zh-CN"/>
              </w:rPr>
            </w:pPr>
          </w:p>
        </w:tc>
      </w:tr>
      <w:tr w14:paraId="00F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C419AE7">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CA16AD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8C30F93">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3DFC039">
            <w:pPr>
              <w:widowControl w:val="0"/>
              <w:jc w:val="center"/>
              <w:rPr>
                <w:rFonts w:hint="eastAsia" w:ascii="仿宋" w:hAnsi="仿宋" w:eastAsia="仿宋" w:cs="仿宋"/>
                <w:sz w:val="24"/>
                <w:szCs w:val="24"/>
                <w:vertAlign w:val="baseline"/>
                <w:lang w:val="en-US" w:eastAsia="zh-CN"/>
              </w:rPr>
            </w:pPr>
          </w:p>
        </w:tc>
      </w:tr>
      <w:tr w14:paraId="38AA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9AD9B6D">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1F4A259">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6282A8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16970C2">
            <w:pPr>
              <w:widowControl w:val="0"/>
              <w:jc w:val="center"/>
              <w:rPr>
                <w:rFonts w:hint="eastAsia" w:ascii="仿宋" w:hAnsi="仿宋" w:eastAsia="仿宋" w:cs="仿宋"/>
                <w:sz w:val="24"/>
                <w:szCs w:val="24"/>
                <w:vertAlign w:val="baseline"/>
                <w:lang w:val="en-US" w:eastAsia="zh-CN"/>
              </w:rPr>
            </w:pPr>
          </w:p>
        </w:tc>
      </w:tr>
    </w:tbl>
    <w:p w14:paraId="54CC5EC1">
      <w:pPr>
        <w:bidi w:val="0"/>
        <w:rPr>
          <w:rFonts w:hint="eastAsia" w:asciiTheme="minorEastAsia" w:hAnsiTheme="minorEastAsia" w:eastAsiaTheme="minorEastAsia" w:cstheme="minorEastAsia"/>
          <w:snapToGrid w:val="0"/>
          <w:color w:val="000000"/>
          <w:spacing w:val="-11"/>
          <w:sz w:val="28"/>
          <w:szCs w:val="28"/>
          <w:lang w:val="en-US" w:eastAsia="zh-CN" w:bidi="ar-SA"/>
        </w:rPr>
      </w:pPr>
    </w:p>
    <w:p w14:paraId="6610F3E2">
      <w:pPr>
        <w:bidi w:val="0"/>
        <w:rPr>
          <w:rFonts w:hint="eastAsia"/>
          <w:lang w:val="en-US" w:eastAsia="zh-CN"/>
        </w:rPr>
      </w:pPr>
    </w:p>
    <w:p w14:paraId="7ECD7D55">
      <w:pPr>
        <w:bidi w:val="0"/>
        <w:rPr>
          <w:rFonts w:hint="eastAsia"/>
          <w:lang w:val="en-US" w:eastAsia="zh-CN"/>
        </w:rPr>
      </w:pPr>
    </w:p>
    <w:p w14:paraId="6F33344C">
      <w:pPr>
        <w:bidi w:val="0"/>
        <w:rPr>
          <w:rFonts w:hint="eastAsia"/>
          <w:lang w:val="en-US" w:eastAsia="zh-CN"/>
        </w:rPr>
      </w:pPr>
    </w:p>
    <w:p w14:paraId="387581D1">
      <w:pPr>
        <w:rPr>
          <w:rFonts w:hint="eastAsia"/>
          <w:lang w:val="en-US" w:eastAsia="zh-CN"/>
        </w:rPr>
      </w:pPr>
      <w:r>
        <w:rPr>
          <w:rFonts w:hint="eastAsia"/>
          <w:lang w:val="en-US" w:eastAsia="zh-CN"/>
        </w:rPr>
        <w:br w:type="page"/>
      </w:r>
    </w:p>
    <w:p w14:paraId="3DFD0888">
      <w:pPr>
        <w:pStyle w:val="2"/>
        <w:bidi w:val="0"/>
      </w:pPr>
      <w:bookmarkStart w:id="4" w:name="_Toc4752"/>
      <w:r>
        <w:rPr>
          <w:rFonts w:hint="eastAsia"/>
        </w:rPr>
        <w:t>项目</w:t>
      </w:r>
      <w:r>
        <w:rPr>
          <w:rFonts w:hint="eastAsia"/>
          <w:lang w:val="en-US" w:eastAsia="zh-CN"/>
        </w:rPr>
        <w:t>服务</w:t>
      </w:r>
      <w:r>
        <w:rPr>
          <w:rFonts w:hint="eastAsia"/>
        </w:rPr>
        <w:t>方案</w:t>
      </w:r>
      <w:bookmarkEnd w:id="4"/>
    </w:p>
    <w:p w14:paraId="27F4D0AC">
      <w:r>
        <w:br w:type="page"/>
      </w:r>
    </w:p>
    <w:p w14:paraId="64A1EE15">
      <w:pPr>
        <w:pStyle w:val="2"/>
        <w:bidi w:val="0"/>
      </w:pPr>
      <w:bookmarkStart w:id="5" w:name="_Toc12306"/>
      <w:r>
        <w:rPr>
          <w:rFonts w:hint="eastAsia"/>
          <w:lang w:val="en-US" w:eastAsia="zh-CN"/>
        </w:rPr>
        <w:t>报价表（加盖公章）</w:t>
      </w:r>
      <w:bookmarkEnd w:id="5"/>
    </w:p>
    <w:p w14:paraId="435C4495">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tbl>
      <w:tblPr>
        <w:tblStyle w:val="13"/>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4211"/>
        <w:gridCol w:w="2074"/>
        <w:gridCol w:w="1790"/>
      </w:tblGrid>
      <w:tr w14:paraId="41A8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15" w:type="dxa"/>
            <w:noWrap w:val="0"/>
            <w:vAlign w:val="center"/>
          </w:tcPr>
          <w:p w14:paraId="22A5A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eastAsia="zh-CN"/>
              </w:rPr>
            </w:pPr>
            <w:r>
              <w:rPr>
                <w:rFonts w:hint="eastAsia" w:eastAsia="宋体"/>
                <w:sz w:val="21"/>
                <w:szCs w:val="21"/>
                <w:lang w:val="en-US" w:eastAsia="zh-CN"/>
              </w:rPr>
              <w:t>序号</w:t>
            </w:r>
          </w:p>
        </w:tc>
        <w:tc>
          <w:tcPr>
            <w:tcW w:w="4211" w:type="dxa"/>
            <w:noWrap w:val="0"/>
            <w:vAlign w:val="center"/>
          </w:tcPr>
          <w:p w14:paraId="7190C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项目名称</w:t>
            </w:r>
          </w:p>
        </w:tc>
        <w:tc>
          <w:tcPr>
            <w:tcW w:w="2074" w:type="dxa"/>
            <w:noWrap w:val="0"/>
            <w:vAlign w:val="center"/>
          </w:tcPr>
          <w:p w14:paraId="3A4EA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单价（元/件）</w:t>
            </w:r>
          </w:p>
          <w:p w14:paraId="4FF1F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（含税）</w:t>
            </w:r>
          </w:p>
        </w:tc>
        <w:tc>
          <w:tcPr>
            <w:tcW w:w="1790" w:type="dxa"/>
            <w:noWrap w:val="0"/>
            <w:vAlign w:val="center"/>
          </w:tcPr>
          <w:p w14:paraId="7867C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备注</w:t>
            </w:r>
          </w:p>
        </w:tc>
      </w:tr>
      <w:tr w14:paraId="27A4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15" w:type="dxa"/>
            <w:noWrap w:val="0"/>
            <w:vAlign w:val="center"/>
          </w:tcPr>
          <w:p w14:paraId="0A0F3A41">
            <w:pPr>
              <w:spacing w:line="240" w:lineRule="auto"/>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4211" w:type="dxa"/>
            <w:noWrap w:val="0"/>
            <w:vAlign w:val="center"/>
          </w:tcPr>
          <w:p w14:paraId="5CEF766F">
            <w:pPr>
              <w:spacing w:line="240" w:lineRule="auto"/>
              <w:jc w:val="center"/>
              <w:rPr>
                <w:rFonts w:hint="default" w:ascii="宋体" w:hAnsi="宋体" w:eastAsia="宋体"/>
                <w:color w:val="000000"/>
                <w:sz w:val="21"/>
                <w:szCs w:val="21"/>
                <w:lang w:val="en-US" w:eastAsia="zh-CN"/>
              </w:rPr>
            </w:pPr>
            <w:r>
              <w:rPr>
                <w:rFonts w:hint="default" w:ascii="宋体" w:hAnsi="宋体" w:eastAsia="宋体"/>
                <w:color w:val="000000"/>
                <w:sz w:val="21"/>
                <w:szCs w:val="21"/>
                <w:lang w:val="en-US" w:eastAsia="zh-CN"/>
              </w:rPr>
              <w:t>广东省工人医院洗涤服务采购项目</w:t>
            </w:r>
          </w:p>
        </w:tc>
        <w:tc>
          <w:tcPr>
            <w:tcW w:w="2074" w:type="dxa"/>
            <w:noWrap w:val="0"/>
            <w:vAlign w:val="center"/>
          </w:tcPr>
          <w:p w14:paraId="1A771EFF">
            <w:pPr>
              <w:spacing w:line="240" w:lineRule="auto"/>
              <w:jc w:val="center"/>
              <w:rPr>
                <w:rFonts w:hint="default" w:ascii="宋体" w:hAnsi="宋体" w:cs="Times New Roman"/>
                <w:kern w:val="2"/>
                <w:sz w:val="21"/>
                <w:szCs w:val="21"/>
                <w:lang w:val="en-US" w:eastAsia="zh-CN" w:bidi="ar-SA"/>
              </w:rPr>
            </w:pPr>
          </w:p>
        </w:tc>
        <w:tc>
          <w:tcPr>
            <w:tcW w:w="1790" w:type="dxa"/>
            <w:noWrap w:val="0"/>
            <w:vAlign w:val="center"/>
          </w:tcPr>
          <w:p w14:paraId="741E7464">
            <w:pPr>
              <w:spacing w:line="240" w:lineRule="auto"/>
              <w:jc w:val="center"/>
              <w:rPr>
                <w:rFonts w:hint="default" w:ascii="宋体" w:hAnsi="宋体" w:cs="Times New Roman"/>
                <w:kern w:val="2"/>
                <w:sz w:val="21"/>
                <w:szCs w:val="21"/>
                <w:lang w:val="en-US" w:eastAsia="zh-CN" w:bidi="ar-SA"/>
              </w:rPr>
            </w:pPr>
          </w:p>
        </w:tc>
      </w:tr>
    </w:tbl>
    <w:p w14:paraId="7A22A001">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621094B5">
      <w:pPr>
        <w:keepNext w:val="0"/>
        <w:keepLines w:val="0"/>
        <w:pageBreakBefore w:val="0"/>
        <w:tabs>
          <w:tab w:val="center" w:pos="4140"/>
        </w:tabs>
        <w:kinsoku/>
        <w:wordWrap/>
        <w:overflowPunct/>
        <w:topLinePunct w:val="0"/>
        <w:autoSpaceDE/>
        <w:autoSpaceDN/>
        <w:bidi w:val="0"/>
        <w:adjustRightInd/>
        <w:snapToGrid/>
        <w:spacing w:line="360" w:lineRule="auto"/>
        <w:textAlignment w:val="auto"/>
        <w:rPr>
          <w:rFonts w:hint="default" w:eastAsia="宋体"/>
          <w:b/>
          <w:sz w:val="24"/>
          <w:szCs w:val="24"/>
          <w:lang w:val="en-US" w:eastAsia="zh-CN"/>
        </w:rPr>
      </w:pPr>
      <w:r>
        <w:rPr>
          <w:rFonts w:hint="eastAsia"/>
          <w:b/>
          <w:sz w:val="24"/>
          <w:szCs w:val="24"/>
          <w:lang w:val="en-US" w:eastAsia="zh-CN"/>
        </w:rPr>
        <w:t>附加费用：</w:t>
      </w:r>
    </w:p>
    <w:tbl>
      <w:tblPr>
        <w:tblStyle w:val="14"/>
        <w:tblW w:w="918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824"/>
        <w:gridCol w:w="5730"/>
      </w:tblGrid>
      <w:tr w14:paraId="3730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33" w:type="dxa"/>
            <w:noWrap w:val="0"/>
            <w:vAlign w:val="center"/>
          </w:tcPr>
          <w:p w14:paraId="055CB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收费项目</w:t>
            </w:r>
          </w:p>
        </w:tc>
        <w:tc>
          <w:tcPr>
            <w:tcW w:w="1824" w:type="dxa"/>
            <w:noWrap w:val="0"/>
            <w:vAlign w:val="center"/>
          </w:tcPr>
          <w:p w14:paraId="350ED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收费金额</w:t>
            </w:r>
          </w:p>
        </w:tc>
        <w:tc>
          <w:tcPr>
            <w:tcW w:w="5730" w:type="dxa"/>
            <w:noWrap w:val="0"/>
            <w:vAlign w:val="center"/>
          </w:tcPr>
          <w:p w14:paraId="597A1A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备注</w:t>
            </w:r>
          </w:p>
        </w:tc>
      </w:tr>
      <w:tr w14:paraId="495C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14:paraId="081EE80B">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p>
        </w:tc>
        <w:tc>
          <w:tcPr>
            <w:tcW w:w="1824" w:type="dxa"/>
            <w:noWrap w:val="0"/>
            <w:vAlign w:val="top"/>
          </w:tcPr>
          <w:p w14:paraId="1F730550">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p>
        </w:tc>
        <w:tc>
          <w:tcPr>
            <w:tcW w:w="5730" w:type="dxa"/>
            <w:noWrap w:val="0"/>
            <w:vAlign w:val="top"/>
          </w:tcPr>
          <w:p w14:paraId="25E24993">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eastAsia"/>
                <w:b w:val="0"/>
                <w:bCs/>
                <w:sz w:val="24"/>
                <w:szCs w:val="24"/>
                <w:vertAlign w:val="baseline"/>
              </w:rPr>
            </w:pPr>
          </w:p>
        </w:tc>
      </w:tr>
    </w:tbl>
    <w:p w14:paraId="6A0C0FBF">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4C181889">
      <w:pPr>
        <w:widowControl w:val="0"/>
        <w:kinsoku/>
        <w:autoSpaceDE/>
        <w:autoSpaceDN/>
        <w:bidi w:val="0"/>
        <w:adjustRightInd/>
        <w:snapToGrid/>
        <w:spacing w:line="240" w:lineRule="auto"/>
        <w:jc w:val="both"/>
        <w:textAlignment w:val="auto"/>
        <w:rPr>
          <w:rFonts w:hint="eastAsia" w:ascii="仿宋" w:hAnsi="仿宋" w:eastAsia="仿宋" w:cs="仿宋"/>
          <w:b/>
          <w:bCs/>
          <w:snapToGrid w:val="0"/>
          <w:color w:val="000000"/>
          <w:spacing w:val="-5"/>
          <w:kern w:val="0"/>
          <w:sz w:val="22"/>
          <w:szCs w:val="22"/>
          <w:lang w:val="en-US" w:eastAsia="zh-CN"/>
        </w:rPr>
      </w:pPr>
      <w:r>
        <w:rPr>
          <w:rFonts w:hint="eastAsia" w:ascii="仿宋" w:hAnsi="仿宋" w:eastAsia="仿宋" w:cs="仿宋"/>
          <w:snapToGrid/>
          <w:kern w:val="2"/>
          <w:sz w:val="22"/>
          <w:szCs w:val="21"/>
        </w:rPr>
        <w:t>注：</w:t>
      </w:r>
      <w:r>
        <w:rPr>
          <w:rFonts w:hint="eastAsia" w:ascii="仿宋" w:hAnsi="仿宋" w:eastAsia="仿宋" w:cs="仿宋"/>
          <w:b/>
          <w:bCs/>
          <w:snapToGrid w:val="0"/>
          <w:color w:val="000000"/>
          <w:spacing w:val="-5"/>
          <w:kern w:val="0"/>
          <w:sz w:val="22"/>
          <w:szCs w:val="22"/>
          <w:lang w:val="en-US" w:eastAsia="zh-CN"/>
        </w:rPr>
        <w:t>1.响应报价按洗涤基准单价（1.80元/件）进行下浮，下浮率必须为固定报价（单位：%），报价不能为负数，不能为区间值（如：1%～5%）。</w:t>
      </w:r>
    </w:p>
    <w:p w14:paraId="66781B30">
      <w:pPr>
        <w:widowControl w:val="0"/>
        <w:kinsoku/>
        <w:autoSpaceDE/>
        <w:autoSpaceDN/>
        <w:bidi w:val="0"/>
        <w:adjustRightInd/>
        <w:snapToGrid/>
        <w:spacing w:line="240" w:lineRule="auto"/>
        <w:ind w:left="0" w:leftChars="0" w:firstLine="420" w:firstLineChars="0"/>
        <w:jc w:val="both"/>
        <w:textAlignment w:val="auto"/>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spacing w:val="-5"/>
          <w:kern w:val="0"/>
          <w:sz w:val="22"/>
          <w:szCs w:val="22"/>
          <w:lang w:val="en-US" w:eastAsia="zh-CN"/>
        </w:rPr>
        <w:t>2.本次供应商的响应报价不代表最终投标价格。</w:t>
      </w:r>
    </w:p>
    <w:p w14:paraId="3F6BD3AD">
      <w:pPr>
        <w:bidi w:val="0"/>
        <w:rPr>
          <w:rFonts w:hint="eastAsia"/>
          <w:lang w:val="en-US" w:eastAsia="zh-CN"/>
        </w:rPr>
      </w:pPr>
    </w:p>
    <w:p w14:paraId="20D4DB78">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14:paraId="3B386A96">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7551A734">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CF90A68">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14:paraId="5D67EB7A">
      <w:pPr>
        <w:pStyle w:val="2"/>
        <w:bidi w:val="0"/>
        <w:rPr>
          <w:rFonts w:hint="eastAsia"/>
          <w:lang w:val="en-US" w:eastAsia="zh-CN"/>
        </w:rPr>
      </w:pPr>
      <w:bookmarkStart w:id="6" w:name="_Toc133103948"/>
      <w:r>
        <w:rPr>
          <w:rFonts w:hint="eastAsia"/>
          <w:lang w:val="en-US" w:eastAsia="zh-CN"/>
        </w:rPr>
        <w:t>服务团队</w:t>
      </w: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79"/>
        <w:gridCol w:w="2088"/>
        <w:gridCol w:w="2112"/>
        <w:gridCol w:w="1765"/>
      </w:tblGrid>
      <w:tr w14:paraId="7F7E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48B3048">
            <w:pPr>
              <w:widowControl w:val="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679" w:type="dxa"/>
            <w:vAlign w:val="center"/>
          </w:tcPr>
          <w:p w14:paraId="410CB61B">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姓名</w:t>
            </w:r>
          </w:p>
        </w:tc>
        <w:tc>
          <w:tcPr>
            <w:tcW w:w="2088" w:type="dxa"/>
            <w:vAlign w:val="center"/>
          </w:tcPr>
          <w:p w14:paraId="2180A3FD">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岗位职责</w:t>
            </w:r>
          </w:p>
        </w:tc>
        <w:tc>
          <w:tcPr>
            <w:tcW w:w="2112" w:type="dxa"/>
            <w:vAlign w:val="center"/>
          </w:tcPr>
          <w:p w14:paraId="15770BBF">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资质证书</w:t>
            </w:r>
          </w:p>
        </w:tc>
        <w:tc>
          <w:tcPr>
            <w:tcW w:w="1765" w:type="dxa"/>
            <w:vAlign w:val="center"/>
          </w:tcPr>
          <w:p w14:paraId="7377DB1E">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在本公司缴纳社保的时间</w:t>
            </w:r>
          </w:p>
        </w:tc>
      </w:tr>
      <w:tr w14:paraId="436F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4A4AAB8">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14:paraId="0B9791F4">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37A0D34B">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0FCCCC86">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0B1A5156">
            <w:pPr>
              <w:widowControl w:val="0"/>
              <w:jc w:val="center"/>
              <w:rPr>
                <w:rFonts w:hint="eastAsia" w:ascii="仿宋" w:hAnsi="仿宋" w:eastAsia="仿宋" w:cs="仿宋"/>
                <w:sz w:val="24"/>
                <w:szCs w:val="24"/>
                <w:vertAlign w:val="baseline"/>
                <w:lang w:val="en-US" w:eastAsia="zh-CN"/>
              </w:rPr>
            </w:pPr>
          </w:p>
        </w:tc>
      </w:tr>
      <w:tr w14:paraId="2C58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E27719D">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14:paraId="27BD4FDE">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66340F4D">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08D7C3D3">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12F83C5B">
            <w:pPr>
              <w:widowControl w:val="0"/>
              <w:jc w:val="center"/>
              <w:rPr>
                <w:rFonts w:hint="eastAsia" w:ascii="仿宋" w:hAnsi="仿宋" w:eastAsia="仿宋" w:cs="仿宋"/>
                <w:sz w:val="24"/>
                <w:szCs w:val="24"/>
                <w:vertAlign w:val="baseline"/>
                <w:lang w:val="en-US" w:eastAsia="zh-CN"/>
              </w:rPr>
            </w:pPr>
          </w:p>
        </w:tc>
      </w:tr>
      <w:tr w14:paraId="651F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A9694AF">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14:paraId="5E161391">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7FC755E8">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072E067E">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272623C1">
            <w:pPr>
              <w:widowControl w:val="0"/>
              <w:jc w:val="center"/>
              <w:rPr>
                <w:rFonts w:hint="eastAsia" w:ascii="仿宋" w:hAnsi="仿宋" w:eastAsia="仿宋" w:cs="仿宋"/>
                <w:sz w:val="24"/>
                <w:szCs w:val="24"/>
                <w:vertAlign w:val="baseline"/>
                <w:lang w:val="en-US" w:eastAsia="zh-CN"/>
              </w:rPr>
            </w:pPr>
          </w:p>
        </w:tc>
      </w:tr>
      <w:tr w14:paraId="568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BB7ABA8">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14:paraId="0AEADDD3">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730E0D58">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01DEEBA0">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6AD8AF87">
            <w:pPr>
              <w:widowControl w:val="0"/>
              <w:jc w:val="center"/>
              <w:rPr>
                <w:rFonts w:hint="eastAsia" w:ascii="仿宋" w:hAnsi="仿宋" w:eastAsia="仿宋" w:cs="仿宋"/>
                <w:sz w:val="24"/>
                <w:szCs w:val="24"/>
                <w:vertAlign w:val="baseline"/>
                <w:lang w:val="en-US" w:eastAsia="zh-CN"/>
              </w:rPr>
            </w:pPr>
          </w:p>
        </w:tc>
      </w:tr>
      <w:tr w14:paraId="1DEC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1656452">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14:paraId="0A9244A8">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599D54C6">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3531B8E3">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26F4D308">
            <w:pPr>
              <w:widowControl w:val="0"/>
              <w:jc w:val="center"/>
              <w:rPr>
                <w:rFonts w:hint="eastAsia" w:ascii="仿宋" w:hAnsi="仿宋" w:eastAsia="仿宋" w:cs="仿宋"/>
                <w:sz w:val="24"/>
                <w:szCs w:val="24"/>
                <w:vertAlign w:val="baseline"/>
                <w:lang w:val="en-US" w:eastAsia="zh-CN"/>
              </w:rPr>
            </w:pPr>
          </w:p>
        </w:tc>
      </w:tr>
      <w:tr w14:paraId="316D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A90044">
            <w:pPr>
              <w:widowControl w:val="0"/>
              <w:numPr>
                <w:ilvl w:val="0"/>
                <w:numId w:val="4"/>
              </w:numPr>
              <w:ind w:left="425" w:leftChars="0" w:hanging="425" w:firstLineChars="0"/>
              <w:jc w:val="center"/>
              <w:rPr>
                <w:rFonts w:hint="eastAsia" w:ascii="仿宋" w:hAnsi="仿宋" w:eastAsia="仿宋" w:cs="仿宋"/>
                <w:sz w:val="24"/>
                <w:szCs w:val="24"/>
                <w:vertAlign w:val="baseline"/>
                <w:lang w:val="en-US" w:eastAsia="zh-CN"/>
              </w:rPr>
            </w:pPr>
          </w:p>
        </w:tc>
        <w:tc>
          <w:tcPr>
            <w:tcW w:w="1679" w:type="dxa"/>
            <w:vAlign w:val="center"/>
          </w:tcPr>
          <w:p w14:paraId="58704540">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250182EB">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397F34C6">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74F2B511">
            <w:pPr>
              <w:widowControl w:val="0"/>
              <w:jc w:val="center"/>
              <w:rPr>
                <w:rFonts w:hint="eastAsia" w:ascii="仿宋" w:hAnsi="仿宋" w:eastAsia="仿宋" w:cs="仿宋"/>
                <w:sz w:val="24"/>
                <w:szCs w:val="24"/>
                <w:vertAlign w:val="baseline"/>
                <w:lang w:val="en-US" w:eastAsia="zh-CN"/>
              </w:rPr>
            </w:pPr>
          </w:p>
        </w:tc>
      </w:tr>
      <w:tr w14:paraId="3D6F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FF584CE">
            <w:pPr>
              <w:widowControl w:val="0"/>
              <w:numPr>
                <w:ilvl w:val="0"/>
                <w:numId w:val="4"/>
              </w:numPr>
              <w:ind w:left="425" w:leftChars="0" w:hanging="425" w:firstLineChars="0"/>
              <w:jc w:val="center"/>
              <w:rPr>
                <w:rFonts w:hint="eastAsia" w:ascii="仿宋" w:hAnsi="仿宋" w:eastAsia="仿宋" w:cs="仿宋"/>
                <w:sz w:val="24"/>
                <w:szCs w:val="24"/>
                <w:vertAlign w:val="baseline"/>
                <w:lang w:val="en-US" w:eastAsia="zh-CN"/>
              </w:rPr>
            </w:pPr>
          </w:p>
        </w:tc>
        <w:tc>
          <w:tcPr>
            <w:tcW w:w="1679" w:type="dxa"/>
            <w:vAlign w:val="center"/>
          </w:tcPr>
          <w:p w14:paraId="40033FA9">
            <w:pPr>
              <w:widowControl w:val="0"/>
              <w:jc w:val="center"/>
              <w:rPr>
                <w:rFonts w:hint="eastAsia" w:ascii="仿宋" w:hAnsi="仿宋" w:eastAsia="仿宋" w:cs="仿宋"/>
                <w:sz w:val="24"/>
                <w:szCs w:val="24"/>
                <w:vertAlign w:val="baseline"/>
                <w:lang w:val="en-US" w:eastAsia="zh-CN"/>
              </w:rPr>
            </w:pPr>
          </w:p>
        </w:tc>
        <w:tc>
          <w:tcPr>
            <w:tcW w:w="2088" w:type="dxa"/>
            <w:vAlign w:val="center"/>
          </w:tcPr>
          <w:p w14:paraId="7C0BA0D8">
            <w:pPr>
              <w:widowControl w:val="0"/>
              <w:jc w:val="center"/>
              <w:rPr>
                <w:rFonts w:hint="eastAsia" w:ascii="仿宋" w:hAnsi="仿宋" w:eastAsia="仿宋" w:cs="仿宋"/>
                <w:sz w:val="24"/>
                <w:szCs w:val="24"/>
                <w:vertAlign w:val="baseline"/>
                <w:lang w:val="en-US" w:eastAsia="zh-CN"/>
              </w:rPr>
            </w:pPr>
          </w:p>
        </w:tc>
        <w:tc>
          <w:tcPr>
            <w:tcW w:w="2112" w:type="dxa"/>
            <w:vAlign w:val="center"/>
          </w:tcPr>
          <w:p w14:paraId="3234C08B">
            <w:pPr>
              <w:widowControl w:val="0"/>
              <w:jc w:val="center"/>
              <w:rPr>
                <w:rFonts w:hint="eastAsia" w:ascii="仿宋" w:hAnsi="仿宋" w:eastAsia="仿宋" w:cs="仿宋"/>
                <w:sz w:val="24"/>
                <w:szCs w:val="24"/>
                <w:vertAlign w:val="baseline"/>
                <w:lang w:val="en-US" w:eastAsia="zh-CN"/>
              </w:rPr>
            </w:pPr>
          </w:p>
        </w:tc>
        <w:tc>
          <w:tcPr>
            <w:tcW w:w="1765" w:type="dxa"/>
            <w:vAlign w:val="center"/>
          </w:tcPr>
          <w:p w14:paraId="1A7EC547">
            <w:pPr>
              <w:widowControl w:val="0"/>
              <w:jc w:val="center"/>
              <w:rPr>
                <w:rFonts w:hint="eastAsia" w:ascii="仿宋" w:hAnsi="仿宋" w:eastAsia="仿宋" w:cs="仿宋"/>
                <w:sz w:val="24"/>
                <w:szCs w:val="24"/>
                <w:vertAlign w:val="baseline"/>
                <w:lang w:val="en-US" w:eastAsia="zh-CN"/>
              </w:rPr>
            </w:pPr>
          </w:p>
        </w:tc>
      </w:tr>
    </w:tbl>
    <w:p w14:paraId="45F8EC03">
      <w:pPr>
        <w:rPr>
          <w:rFonts w:hint="eastAsia"/>
          <w:lang w:val="en-US" w:eastAsia="zh-CN"/>
        </w:rPr>
      </w:pPr>
      <w:r>
        <w:rPr>
          <w:rFonts w:hint="eastAsia"/>
          <w:lang w:val="en-US" w:eastAsia="zh-CN"/>
        </w:rPr>
        <w:t>注：后附相关证书复印件。</w:t>
      </w:r>
    </w:p>
    <w:p w14:paraId="003DDEAC">
      <w:pPr>
        <w:pStyle w:val="10"/>
        <w:rPr>
          <w:rFonts w:hint="eastAsia"/>
          <w:lang w:val="en-US" w:eastAsia="zh-CN"/>
        </w:rPr>
      </w:pPr>
    </w:p>
    <w:p w14:paraId="245DCDF1">
      <w:pPr>
        <w:rPr>
          <w:rFonts w:hint="eastAsia"/>
          <w:lang w:val="en-US" w:eastAsia="zh-CN"/>
        </w:rPr>
      </w:pPr>
    </w:p>
    <w:p w14:paraId="11C466FA">
      <w:pPr>
        <w:rPr>
          <w:rFonts w:hint="eastAsia"/>
          <w:lang w:val="en-US" w:eastAsia="zh-CN"/>
        </w:rPr>
        <w:sectPr>
          <w:footerReference r:id="rId5" w:type="default"/>
          <w:pgSz w:w="11910" w:h="16840"/>
          <w:pgMar w:top="1431" w:right="1803" w:bottom="1429" w:left="1803" w:header="0" w:footer="680" w:gutter="0"/>
          <w:cols w:space="720" w:num="1"/>
        </w:sectPr>
      </w:pPr>
    </w:p>
    <w:p w14:paraId="37A692CC">
      <w:pPr>
        <w:pStyle w:val="2"/>
        <w:bidi w:val="0"/>
        <w:rPr>
          <w:rFonts w:hint="eastAsia"/>
          <w:lang w:val="en-US" w:eastAsia="zh-CN"/>
        </w:rPr>
        <w:sectPr>
          <w:footerReference r:id="rId6" w:type="default"/>
          <w:pgSz w:w="11910" w:h="16840"/>
          <w:pgMar w:top="1431" w:right="1803" w:bottom="1429" w:left="1803" w:header="0" w:footer="680" w:gutter="0"/>
          <w:cols w:space="720" w:num="1"/>
        </w:sectPr>
      </w:pPr>
      <w:bookmarkStart w:id="7" w:name="_Toc32418"/>
      <w:r>
        <w:rPr>
          <w:rFonts w:hint="eastAsia"/>
          <w:lang w:val="en-US" w:eastAsia="zh-CN"/>
        </w:rPr>
        <w:t>洗衣工厂</w:t>
      </w:r>
      <w:bookmarkStart w:id="9" w:name="_GoBack"/>
      <w:bookmarkEnd w:id="9"/>
      <w:r>
        <w:rPr>
          <w:rFonts w:hint="eastAsia"/>
          <w:lang w:val="en-US" w:eastAsia="zh-CN"/>
        </w:rPr>
        <w:t>设计布局图片及介绍</w:t>
      </w:r>
      <w:bookmarkEnd w:id="7"/>
    </w:p>
    <w:p w14:paraId="24E31A01">
      <w:pPr>
        <w:pStyle w:val="2"/>
        <w:bidi w:val="0"/>
        <w:rPr>
          <w:rFonts w:hint="eastAsia"/>
          <w:lang w:val="en-US" w:eastAsia="zh-CN"/>
        </w:rPr>
      </w:pPr>
      <w:bookmarkStart w:id="8" w:name="_Toc26410"/>
      <w:r>
        <w:rPr>
          <w:rFonts w:hint="eastAsia"/>
          <w:lang w:val="en-US" w:eastAsia="zh-CN"/>
        </w:rPr>
        <w:t>近一年同类项目业绩（后附成交合同附件关键页）</w:t>
      </w:r>
      <w:bookmarkEnd w:id="8"/>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14:paraId="2B26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518DB699">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14:paraId="25A842D0">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14:paraId="77FD3193">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14:paraId="27745E5C">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14:paraId="2C3B1607">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14:paraId="758F809A">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14:paraId="24CB5BF6">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14:paraId="2DBF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63881CFF">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5DB478FA">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702165B">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25B43679">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2E2C2D15">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4C9E631">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DD37900">
            <w:pPr>
              <w:widowControl w:val="0"/>
              <w:jc w:val="center"/>
              <w:rPr>
                <w:rFonts w:hint="eastAsia" w:ascii="仿宋" w:hAnsi="仿宋" w:eastAsia="仿宋" w:cs="仿宋"/>
                <w:sz w:val="22"/>
                <w:szCs w:val="22"/>
                <w:vertAlign w:val="baseline"/>
                <w:lang w:val="en-US" w:eastAsia="zh-CN"/>
              </w:rPr>
            </w:pPr>
          </w:p>
        </w:tc>
      </w:tr>
      <w:tr w14:paraId="14B5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267D7668">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0C9C526D">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1DB11F6">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4D8B0052">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724C51B2">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6488B96">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47FB438B">
            <w:pPr>
              <w:widowControl w:val="0"/>
              <w:jc w:val="center"/>
              <w:rPr>
                <w:rFonts w:hint="eastAsia" w:ascii="仿宋" w:hAnsi="仿宋" w:eastAsia="仿宋" w:cs="仿宋"/>
                <w:sz w:val="22"/>
                <w:szCs w:val="22"/>
                <w:vertAlign w:val="baseline"/>
                <w:lang w:val="en-US" w:eastAsia="zh-CN"/>
              </w:rPr>
            </w:pPr>
          </w:p>
        </w:tc>
      </w:tr>
      <w:tr w14:paraId="563F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63BBA453">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4F105BEB">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1C9B078C">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4723AEB6">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5B43B9EE">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D2AA9EB">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49540663">
            <w:pPr>
              <w:widowControl w:val="0"/>
              <w:jc w:val="center"/>
              <w:rPr>
                <w:rFonts w:hint="eastAsia" w:ascii="仿宋" w:hAnsi="仿宋" w:eastAsia="仿宋" w:cs="仿宋"/>
                <w:sz w:val="22"/>
                <w:szCs w:val="22"/>
                <w:vertAlign w:val="baseline"/>
                <w:lang w:val="en-US" w:eastAsia="zh-CN"/>
              </w:rPr>
            </w:pPr>
          </w:p>
        </w:tc>
      </w:tr>
      <w:tr w14:paraId="310C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746A3107">
            <w:pPr>
              <w:widowControl w:val="0"/>
              <w:jc w:val="center"/>
              <w:rPr>
                <w:rFonts w:hint="default" w:ascii="仿宋" w:hAnsi="仿宋" w:eastAsia="仿宋" w:cs="仿宋"/>
                <w:sz w:val="22"/>
                <w:szCs w:val="22"/>
                <w:vertAlign w:val="baseline"/>
                <w:lang w:val="en-US" w:eastAsia="zh-CN"/>
              </w:rPr>
            </w:pPr>
          </w:p>
        </w:tc>
        <w:tc>
          <w:tcPr>
            <w:tcW w:w="1854" w:type="dxa"/>
            <w:vAlign w:val="center"/>
          </w:tcPr>
          <w:p w14:paraId="445D4625">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47D5779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7DEDB2BE">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5D95BAD2">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9623FCA">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75FD5242">
            <w:pPr>
              <w:widowControl w:val="0"/>
              <w:jc w:val="center"/>
              <w:rPr>
                <w:rFonts w:hint="eastAsia" w:ascii="仿宋" w:hAnsi="仿宋" w:eastAsia="仿宋" w:cs="仿宋"/>
                <w:sz w:val="22"/>
                <w:szCs w:val="22"/>
                <w:vertAlign w:val="baseline"/>
                <w:lang w:val="en-US" w:eastAsia="zh-CN"/>
              </w:rPr>
            </w:pPr>
          </w:p>
        </w:tc>
      </w:tr>
      <w:tr w14:paraId="0FDE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14:paraId="733107C0">
            <w:pPr>
              <w:widowControl w:val="0"/>
              <w:jc w:val="center"/>
              <w:rPr>
                <w:rFonts w:hint="eastAsia" w:ascii="仿宋" w:hAnsi="仿宋" w:eastAsia="仿宋" w:cs="仿宋"/>
                <w:sz w:val="22"/>
                <w:szCs w:val="22"/>
                <w:vertAlign w:val="baseline"/>
                <w:lang w:val="en-US" w:eastAsia="zh-CN"/>
              </w:rPr>
            </w:pPr>
          </w:p>
        </w:tc>
        <w:tc>
          <w:tcPr>
            <w:tcW w:w="1854" w:type="dxa"/>
            <w:vAlign w:val="center"/>
          </w:tcPr>
          <w:p w14:paraId="55116988">
            <w:pPr>
              <w:widowControl w:val="0"/>
              <w:jc w:val="center"/>
              <w:rPr>
                <w:rFonts w:hint="default" w:ascii="仿宋" w:hAnsi="仿宋" w:eastAsia="仿宋" w:cs="仿宋"/>
                <w:sz w:val="22"/>
                <w:szCs w:val="22"/>
                <w:vertAlign w:val="baseline"/>
                <w:lang w:val="en-US" w:eastAsia="zh-CN"/>
              </w:rPr>
            </w:pPr>
          </w:p>
        </w:tc>
        <w:tc>
          <w:tcPr>
            <w:tcW w:w="1362" w:type="dxa"/>
            <w:vAlign w:val="center"/>
          </w:tcPr>
          <w:p w14:paraId="06ACAE9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0C8C7D0A">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7499825B">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71AB4E0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3ED61BA">
            <w:pPr>
              <w:widowControl w:val="0"/>
              <w:jc w:val="center"/>
              <w:rPr>
                <w:rFonts w:hint="eastAsia" w:ascii="仿宋" w:hAnsi="仿宋" w:eastAsia="仿宋" w:cs="仿宋"/>
                <w:sz w:val="22"/>
                <w:szCs w:val="22"/>
                <w:vertAlign w:val="baseline"/>
                <w:lang w:val="en-US" w:eastAsia="zh-CN"/>
              </w:rPr>
            </w:pPr>
          </w:p>
        </w:tc>
      </w:tr>
    </w:tbl>
    <w:p w14:paraId="43A896A4">
      <w:pPr>
        <w:rPr>
          <w:rFonts w:hint="eastAsia"/>
          <w:lang w:val="en-US" w:eastAsia="zh-CN"/>
        </w:rPr>
      </w:pPr>
      <w:r>
        <w:rPr>
          <w:rFonts w:hint="eastAsia"/>
          <w:lang w:val="en-US" w:eastAsia="zh-CN"/>
        </w:rPr>
        <w:t>注：请提供不少于三份历史成交项目，如中标价为下浮率/折扣率，请一并写明。</w:t>
      </w:r>
    </w:p>
    <w:p w14:paraId="69842490">
      <w:pPr>
        <w:rPr>
          <w:rFonts w:hint="eastAsia"/>
          <w:lang w:val="en-US" w:eastAsia="zh-CN"/>
        </w:rPr>
      </w:pPr>
    </w:p>
    <w:bookmarkEnd w:id="6"/>
    <w:p w14:paraId="1DFBA1D4">
      <w:pPr>
        <w:rPr>
          <w:rFonts w:hint="eastAsia"/>
          <w:lang w:val="en-US" w:eastAsia="zh-CN"/>
        </w:rPr>
      </w:pPr>
    </w:p>
    <w:sectPr>
      <w:footerReference r:id="rId7" w:type="default"/>
      <w:pgSz w:w="11910" w:h="16840"/>
      <w:pgMar w:top="1431" w:right="1803" w:bottom="1429" w:left="1803" w:header="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324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5D1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2649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52649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E4B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0083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20083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233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3533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F3533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B902">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1">
    <w:nsid w:val="0789237E"/>
    <w:multiLevelType w:val="singleLevel"/>
    <w:tmpl w:val="0789237E"/>
    <w:lvl w:ilvl="0" w:tentative="0">
      <w:start w:val="1"/>
      <w:numFmt w:val="decimal"/>
      <w:lvlText w:val="%1."/>
      <w:lvlJc w:val="left"/>
      <w:pPr>
        <w:ind w:left="425" w:hanging="425"/>
      </w:pPr>
      <w:rPr>
        <w:rFonts w:hint="default"/>
      </w:rPr>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QzNmQxMzBkMWVmOGZiNzk1Y2M1Y2EyMmY0MDZmZjk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51931EE"/>
    <w:rsid w:val="05476E8D"/>
    <w:rsid w:val="05816FE5"/>
    <w:rsid w:val="059A234D"/>
    <w:rsid w:val="08EB30F3"/>
    <w:rsid w:val="0AB67731"/>
    <w:rsid w:val="0B704E0D"/>
    <w:rsid w:val="0C50326D"/>
    <w:rsid w:val="0E3E3CC5"/>
    <w:rsid w:val="0E6B25E0"/>
    <w:rsid w:val="0EE000F6"/>
    <w:rsid w:val="0EE505E5"/>
    <w:rsid w:val="0F313EDE"/>
    <w:rsid w:val="0F346E76"/>
    <w:rsid w:val="108E71AB"/>
    <w:rsid w:val="10FF5D0B"/>
    <w:rsid w:val="11A622AD"/>
    <w:rsid w:val="13A96027"/>
    <w:rsid w:val="15AA32AC"/>
    <w:rsid w:val="15F035A2"/>
    <w:rsid w:val="16CD690B"/>
    <w:rsid w:val="16E318AE"/>
    <w:rsid w:val="199A216E"/>
    <w:rsid w:val="19E20C70"/>
    <w:rsid w:val="1A7C004F"/>
    <w:rsid w:val="1ABA7744"/>
    <w:rsid w:val="1C580648"/>
    <w:rsid w:val="1D631DC4"/>
    <w:rsid w:val="1DFF3A8A"/>
    <w:rsid w:val="22637549"/>
    <w:rsid w:val="24166CB2"/>
    <w:rsid w:val="24E231A5"/>
    <w:rsid w:val="25875AFA"/>
    <w:rsid w:val="26E0111F"/>
    <w:rsid w:val="29611222"/>
    <w:rsid w:val="29E94DD9"/>
    <w:rsid w:val="2AD64894"/>
    <w:rsid w:val="2B144CE9"/>
    <w:rsid w:val="2C8903AA"/>
    <w:rsid w:val="2DB87198"/>
    <w:rsid w:val="2FDE6C5E"/>
    <w:rsid w:val="30A43A04"/>
    <w:rsid w:val="319121DA"/>
    <w:rsid w:val="31F431A8"/>
    <w:rsid w:val="32D10821"/>
    <w:rsid w:val="34496D9C"/>
    <w:rsid w:val="34E50E91"/>
    <w:rsid w:val="37A82668"/>
    <w:rsid w:val="37A87840"/>
    <w:rsid w:val="38910D12"/>
    <w:rsid w:val="38CA4224"/>
    <w:rsid w:val="38D7403D"/>
    <w:rsid w:val="391D7808"/>
    <w:rsid w:val="39564831"/>
    <w:rsid w:val="39A727C3"/>
    <w:rsid w:val="3AB24F6F"/>
    <w:rsid w:val="3B3F2CA7"/>
    <w:rsid w:val="3CCD19D5"/>
    <w:rsid w:val="3D807E30"/>
    <w:rsid w:val="41605725"/>
    <w:rsid w:val="42407FFD"/>
    <w:rsid w:val="42426306"/>
    <w:rsid w:val="434B7D0F"/>
    <w:rsid w:val="44380293"/>
    <w:rsid w:val="44894F93"/>
    <w:rsid w:val="44FC5765"/>
    <w:rsid w:val="49361573"/>
    <w:rsid w:val="4B5069ED"/>
    <w:rsid w:val="4BC437E9"/>
    <w:rsid w:val="5005420D"/>
    <w:rsid w:val="50F11C80"/>
    <w:rsid w:val="52A33962"/>
    <w:rsid w:val="545B317C"/>
    <w:rsid w:val="55052219"/>
    <w:rsid w:val="5B172EA1"/>
    <w:rsid w:val="5BB0266F"/>
    <w:rsid w:val="5C1949F7"/>
    <w:rsid w:val="5D261179"/>
    <w:rsid w:val="5D3F737B"/>
    <w:rsid w:val="5F88085E"/>
    <w:rsid w:val="672A5D0A"/>
    <w:rsid w:val="674D6646"/>
    <w:rsid w:val="6BC2493D"/>
    <w:rsid w:val="6C221EFC"/>
    <w:rsid w:val="6D4463F6"/>
    <w:rsid w:val="6D4A4A10"/>
    <w:rsid w:val="6E7F7204"/>
    <w:rsid w:val="6EC66318"/>
    <w:rsid w:val="6F1E7F02"/>
    <w:rsid w:val="6FEB7EDF"/>
    <w:rsid w:val="700A50C7"/>
    <w:rsid w:val="70516C52"/>
    <w:rsid w:val="72CB4706"/>
    <w:rsid w:val="733E0CE8"/>
    <w:rsid w:val="73C05A2C"/>
    <w:rsid w:val="75081F4A"/>
    <w:rsid w:val="752D5803"/>
    <w:rsid w:val="75C64C11"/>
    <w:rsid w:val="769136B0"/>
    <w:rsid w:val="76CE6D0D"/>
    <w:rsid w:val="77731007"/>
    <w:rsid w:val="77D975C3"/>
    <w:rsid w:val="792F4AAF"/>
    <w:rsid w:val="794B72F4"/>
    <w:rsid w:val="7A3E58FC"/>
    <w:rsid w:val="7B7B764C"/>
    <w:rsid w:val="7B8C6B3B"/>
    <w:rsid w:val="7D405AD8"/>
    <w:rsid w:val="7D851E75"/>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autoRedefine/>
    <w:qFormat/>
    <w:uiPriority w:val="0"/>
    <w:pPr>
      <w:keepNext/>
      <w:keepLines/>
      <w:numPr>
        <w:ilvl w:val="0"/>
        <w:numId w:val="2"/>
      </w:numPr>
      <w:spacing w:before="240" w:after="240"/>
      <w:outlineLvl w:val="1"/>
    </w:pPr>
    <w:rPr>
      <w:b/>
      <w:bCs/>
      <w:szCs w:val="32"/>
    </w:rPr>
  </w:style>
  <w:style w:type="paragraph" w:styleId="4">
    <w:name w:val="heading 3"/>
    <w:next w:val="1"/>
    <w:autoRedefine/>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autoRedefine/>
    <w:qFormat/>
    <w:uiPriority w:val="39"/>
    <w:rPr>
      <w:rFonts w:ascii="Calibri" w:hAnsi="Calibri" w:eastAsia="宋体" w:cs="Times New Roman"/>
    </w:rPr>
  </w:style>
  <w:style w:type="paragraph" w:styleId="11">
    <w:name w:val="toc 2"/>
    <w:basedOn w:val="1"/>
    <w:next w:val="1"/>
    <w:autoRedefine/>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5949</Words>
  <Characters>6049</Characters>
  <Lines>19</Lines>
  <Paragraphs>5</Paragraphs>
  <TotalTime>7</TotalTime>
  <ScaleCrop>false</ScaleCrop>
  <LinksUpToDate>false</LinksUpToDate>
  <CharactersWithSpaces>6109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果卉</cp:lastModifiedBy>
  <cp:lastPrinted>2023-12-08T08:20:00Z</cp:lastPrinted>
  <dcterms:modified xsi:type="dcterms:W3CDTF">2024-09-12T02:57:52Z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2052-12.1.0.17857</vt:lpwstr>
  </property>
  <property fmtid="{D5CDD505-2E9C-101B-9397-08002B2CF9AE}" pid="6" name="ICV">
    <vt:lpwstr>BFCCA0D953C64E99AAC18A5A2EEAEA76_13</vt:lpwstr>
  </property>
</Properties>
</file>