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76F9B">
      <w:pPr>
        <w:pStyle w:val="8"/>
        <w:tabs>
          <w:tab w:val="left" w:pos="1260"/>
        </w:tabs>
        <w:spacing w:line="360" w:lineRule="auto"/>
        <w:jc w:val="center"/>
        <w:rPr>
          <w:rFonts w:hint="eastAsia" w:cs="宋体" w:asciiTheme="minorEastAsia" w:hAnsiTheme="minorEastAsia" w:eastAsiaTheme="minorEastAsia"/>
          <w:b/>
          <w:spacing w:val="100"/>
          <w:w w:val="110"/>
          <w:sz w:val="2"/>
          <w:szCs w:val="2"/>
        </w:rPr>
      </w:pPr>
    </w:p>
    <w:p w14:paraId="60CE44DD">
      <w:pPr>
        <w:pStyle w:val="8"/>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7"/>
                    <a:srcRect t="496" b="496"/>
                    <a:stretch>
                      <a:fillRect/>
                    </a:stretch>
                  </pic:blipFill>
                  <pic:spPr>
                    <a:xfrm>
                      <a:off x="0" y="0"/>
                      <a:ext cx="5172710" cy="904875"/>
                    </a:xfrm>
                    <a:prstGeom prst="rect">
                      <a:avLst/>
                    </a:prstGeom>
                    <a:noFill/>
                    <a:ln>
                      <a:noFill/>
                    </a:ln>
                  </pic:spPr>
                </pic:pic>
              </a:graphicData>
            </a:graphic>
          </wp:inline>
        </w:drawing>
      </w:r>
    </w:p>
    <w:p w14:paraId="6ACFE6AC">
      <w:pPr>
        <w:pStyle w:val="8"/>
        <w:tabs>
          <w:tab w:val="left" w:pos="1260"/>
        </w:tabs>
        <w:spacing w:line="360" w:lineRule="auto"/>
        <w:jc w:val="center"/>
        <w:rPr>
          <w:rFonts w:hint="eastAsia" w:ascii="微软雅黑" w:hAnsi="微软雅黑" w:eastAsia="微软雅黑" w:cs="微软雅黑"/>
          <w:b/>
          <w:sz w:val="32"/>
          <w:szCs w:val="32"/>
          <w:u w:val="single"/>
        </w:rPr>
      </w:pPr>
    </w:p>
    <w:p w14:paraId="6E8B1933">
      <w:pPr>
        <w:pStyle w:val="8"/>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5BFD49A8">
      <w:pPr>
        <w:pStyle w:val="7"/>
        <w:spacing w:line="360" w:lineRule="auto"/>
        <w:ind w:left="0" w:leftChars="0" w:firstLine="0" w:firstLineChars="0"/>
        <w:jc w:val="center"/>
        <w:rPr>
          <w:rFonts w:hint="eastAsia" w:cs="宋体" w:asciiTheme="minorEastAsia" w:hAnsiTheme="minorEastAsia" w:eastAsiaTheme="minorEastAsia"/>
          <w:b/>
          <w:snapToGrid w:val="0"/>
          <w:color w:val="000000"/>
          <w:spacing w:val="100"/>
          <w:w w:val="110"/>
          <w:sz w:val="72"/>
          <w:szCs w:val="72"/>
          <w:lang w:val="en-US" w:eastAsia="zh-CN" w:bidi="ar-SA"/>
        </w:rPr>
      </w:pPr>
      <w:r>
        <w:rPr>
          <w:rFonts w:hint="eastAsia" w:cs="宋体" w:asciiTheme="minorEastAsia" w:hAnsiTheme="minorEastAsia" w:eastAsiaTheme="minorEastAsia"/>
          <w:b/>
          <w:snapToGrid w:val="0"/>
          <w:color w:val="000000"/>
          <w:spacing w:val="100"/>
          <w:w w:val="110"/>
          <w:sz w:val="72"/>
          <w:szCs w:val="72"/>
          <w:lang w:val="en-US" w:eastAsia="zh-CN" w:bidi="ar-SA"/>
        </w:rPr>
        <w:t>（用户需求书）</w:t>
      </w:r>
    </w:p>
    <w:p w14:paraId="6F760347">
      <w:pPr>
        <w:pStyle w:val="7"/>
        <w:spacing w:line="360" w:lineRule="auto"/>
        <w:ind w:firstLine="967" w:firstLineChars="344"/>
        <w:rPr>
          <w:rFonts w:cs="宋体" w:asciiTheme="minorEastAsia" w:hAnsiTheme="minorEastAsia" w:eastAsiaTheme="minorEastAsia"/>
          <w:b/>
          <w:sz w:val="28"/>
          <w:szCs w:val="28"/>
        </w:rPr>
      </w:pPr>
    </w:p>
    <w:p w14:paraId="34DA274F">
      <w:pPr>
        <w:pStyle w:val="7"/>
        <w:spacing w:line="360" w:lineRule="auto"/>
        <w:ind w:firstLine="967" w:firstLineChars="344"/>
        <w:rPr>
          <w:rFonts w:cs="宋体" w:asciiTheme="minorEastAsia" w:hAnsiTheme="minorEastAsia" w:eastAsiaTheme="minorEastAsia"/>
          <w:b/>
          <w:sz w:val="28"/>
          <w:szCs w:val="28"/>
        </w:rPr>
      </w:pPr>
    </w:p>
    <w:p w14:paraId="1018CF63">
      <w:pPr>
        <w:pStyle w:val="7"/>
        <w:spacing w:line="360" w:lineRule="auto"/>
        <w:ind w:firstLine="967" w:firstLineChars="344"/>
        <w:rPr>
          <w:rFonts w:cs="宋体" w:asciiTheme="minorEastAsia" w:hAnsiTheme="minorEastAsia" w:eastAsiaTheme="minorEastAsia"/>
          <w:b/>
          <w:sz w:val="28"/>
          <w:szCs w:val="28"/>
        </w:rPr>
      </w:pPr>
    </w:p>
    <w:p w14:paraId="52EEC883">
      <w:pPr>
        <w:pStyle w:val="7"/>
        <w:spacing w:line="360" w:lineRule="auto"/>
        <w:ind w:firstLine="967" w:firstLineChars="344"/>
        <w:rPr>
          <w:rFonts w:cs="宋体" w:asciiTheme="minorEastAsia" w:hAnsiTheme="minorEastAsia" w:eastAsiaTheme="minorEastAsia"/>
          <w:b/>
          <w:sz w:val="28"/>
          <w:szCs w:val="28"/>
        </w:rPr>
      </w:pPr>
    </w:p>
    <w:p w14:paraId="5576937B">
      <w:pPr>
        <w:pStyle w:val="7"/>
        <w:spacing w:line="360" w:lineRule="auto"/>
        <w:ind w:firstLine="281" w:firstLineChars="100"/>
        <w:rPr>
          <w:rFonts w:hint="eastAsia"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广东省工人医院2025-2026年车辆租赁服务采购项目</w:t>
      </w:r>
    </w:p>
    <w:p w14:paraId="08637195">
      <w:pPr>
        <w:pStyle w:val="7"/>
        <w:spacing w:line="360" w:lineRule="auto"/>
        <w:ind w:firstLine="281" w:firstLineChars="100"/>
        <w:rPr>
          <w:rFonts w:hint="default" w:cs="宋体" w:asciiTheme="minorEastAsia" w:hAnsiTheme="minorEastAsia" w:eastAsiaTheme="minorEastAsia"/>
          <w:b/>
          <w:sz w:val="28"/>
          <w:szCs w:val="28"/>
          <w:lang w:val="en-US" w:eastAsia="zh-CN"/>
        </w:rPr>
      </w:pPr>
      <w:r>
        <w:rPr>
          <w:rFonts w:hint="default" w:cs="宋体" w:asciiTheme="minorEastAsia" w:hAnsiTheme="minorEastAsia" w:eastAsiaTheme="minorEastAsia"/>
          <w:b/>
          <w:sz w:val="28"/>
          <w:szCs w:val="28"/>
          <w:lang w:val="en-US" w:eastAsia="zh-CN"/>
        </w:rPr>
        <w:t>项目编号：粤工采【2025】002-C-X</w:t>
      </w:r>
    </w:p>
    <w:p w14:paraId="2F4D677E">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756B14E9">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097E90BF">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6DEC15A6">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地址：</w:t>
      </w:r>
    </w:p>
    <w:p w14:paraId="6B0E8382">
      <w:pPr>
        <w:pStyle w:val="7"/>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日期：    年    月    日</w:t>
      </w:r>
    </w:p>
    <w:p w14:paraId="585624A4">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sz w:val="32"/>
          <w:szCs w:val="32"/>
        </w:rPr>
        <w:br w:type="page"/>
      </w:r>
      <w:bookmarkStart w:id="0" w:name="_Toc28609"/>
      <w:bookmarkStart w:id="1" w:name="_Toc128474408"/>
      <w:r>
        <w:rPr>
          <w:rFonts w:hint="eastAsia" w:asciiTheme="minorEastAsia" w:hAnsiTheme="minorEastAsia" w:eastAsiaTheme="minorEastAsia"/>
          <w:b/>
          <w:bCs/>
          <w:sz w:val="36"/>
          <w:szCs w:val="36"/>
        </w:rPr>
        <w:t>声 明</w:t>
      </w:r>
      <w:bookmarkEnd w:id="0"/>
      <w:bookmarkEnd w:id="1"/>
    </w:p>
    <w:p w14:paraId="2E923BA7">
      <w:pPr>
        <w:pStyle w:val="11"/>
        <w:spacing w:line="360" w:lineRule="auto"/>
        <w:rPr>
          <w:rFonts w:asciiTheme="minorEastAsia" w:hAnsiTheme="minorEastAsia" w:eastAsiaTheme="minorEastAsia"/>
        </w:rPr>
      </w:pPr>
    </w:p>
    <w:p w14:paraId="49825246">
      <w:pPr>
        <w:pStyle w:val="11"/>
        <w:spacing w:before="156" w:beforeLines="50" w:after="156" w:after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1.本项目</w:t>
      </w:r>
      <w:r>
        <w:rPr>
          <w:rFonts w:hint="eastAsia" w:asciiTheme="minorEastAsia" w:hAnsiTheme="minorEastAsia" w:eastAsiaTheme="minorEastAsia"/>
          <w:sz w:val="28"/>
          <w:szCs w:val="28"/>
          <w:lang w:val="en-US" w:eastAsia="zh-CN"/>
        </w:rPr>
        <w:t>报名提交的响应资料</w:t>
      </w:r>
      <w:r>
        <w:rPr>
          <w:rFonts w:hint="eastAsia" w:asciiTheme="minorEastAsia" w:hAnsiTheme="minorEastAsia" w:eastAsiaTheme="minorEastAsia"/>
          <w:sz w:val="28"/>
          <w:szCs w:val="28"/>
        </w:rPr>
        <w:t>仅供采购人</w:t>
      </w:r>
      <w:r>
        <w:rPr>
          <w:rFonts w:hint="eastAsia" w:asciiTheme="minorEastAsia" w:hAnsiTheme="minorEastAsia" w:eastAsiaTheme="minorEastAsia"/>
          <w:sz w:val="28"/>
          <w:szCs w:val="28"/>
          <w:lang w:val="en-US" w:eastAsia="zh-CN"/>
        </w:rPr>
        <w:t>进行方案初筛、资格</w:t>
      </w:r>
      <w:r>
        <w:rPr>
          <w:rFonts w:hint="eastAsia" w:asciiTheme="minorEastAsia" w:hAnsiTheme="minorEastAsia" w:eastAsiaTheme="minorEastAsia"/>
          <w:sz w:val="28"/>
          <w:szCs w:val="28"/>
        </w:rPr>
        <w:t>审核</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备案使用，参与本次</w:t>
      </w:r>
      <w:r>
        <w:rPr>
          <w:rFonts w:hint="eastAsia" w:asciiTheme="minorEastAsia" w:hAnsiTheme="minorEastAsia" w:eastAsiaTheme="minorEastAsia"/>
          <w:sz w:val="28"/>
          <w:szCs w:val="28"/>
          <w:lang w:val="en-US" w:eastAsia="zh-CN"/>
        </w:rPr>
        <w:t>报名</w:t>
      </w:r>
      <w:r>
        <w:rPr>
          <w:rFonts w:hint="eastAsia" w:asciiTheme="minorEastAsia" w:hAnsiTheme="minorEastAsia" w:eastAsiaTheme="minorEastAsia"/>
          <w:sz w:val="28"/>
          <w:szCs w:val="28"/>
        </w:rPr>
        <w:t>并不代表</w:t>
      </w:r>
      <w:r>
        <w:rPr>
          <w:rFonts w:hint="eastAsia" w:asciiTheme="minorEastAsia" w:hAnsiTheme="minorEastAsia" w:eastAsiaTheme="minorEastAsia"/>
          <w:sz w:val="28"/>
          <w:szCs w:val="28"/>
          <w:lang w:val="en-US" w:eastAsia="zh-CN"/>
        </w:rPr>
        <w:t>获得参加现场遴选会的邀请或</w:t>
      </w:r>
      <w:r>
        <w:rPr>
          <w:rFonts w:hint="eastAsia" w:asciiTheme="minorEastAsia" w:hAnsiTheme="minorEastAsia" w:eastAsiaTheme="minorEastAsia"/>
          <w:sz w:val="28"/>
          <w:szCs w:val="28"/>
        </w:rPr>
        <w:t>取得订单。</w:t>
      </w:r>
    </w:p>
    <w:p w14:paraId="616054FB">
      <w:pPr>
        <w:spacing w:before="156" w:beforeLines="50" w:after="156" w:afterLines="5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2.采购人</w:t>
      </w:r>
      <w:r>
        <w:rPr>
          <w:rFonts w:hint="eastAsia" w:cs="Times New Roman" w:asciiTheme="minorEastAsia" w:hAnsiTheme="minorEastAsia" w:eastAsiaTheme="minorEastAsia"/>
          <w:sz w:val="28"/>
          <w:szCs w:val="28"/>
          <w:lang w:val="en-US" w:eastAsia="zh-CN"/>
        </w:rPr>
        <w:t>仅对通过</w:t>
      </w:r>
      <w:r>
        <w:rPr>
          <w:rFonts w:hint="eastAsia" w:asciiTheme="minorEastAsia" w:hAnsiTheme="minorEastAsia" w:eastAsiaTheme="minorEastAsia"/>
          <w:sz w:val="28"/>
          <w:szCs w:val="28"/>
          <w:lang w:val="en-US" w:eastAsia="zh-CN"/>
        </w:rPr>
        <w:t>方案初筛及</w:t>
      </w:r>
      <w:r>
        <w:rPr>
          <w:rFonts w:hint="eastAsia" w:cs="Times New Roman" w:asciiTheme="minorEastAsia" w:hAnsiTheme="minorEastAsia" w:eastAsiaTheme="minorEastAsia"/>
          <w:sz w:val="28"/>
          <w:szCs w:val="28"/>
          <w:lang w:val="en-US" w:eastAsia="zh-CN"/>
        </w:rPr>
        <w:t>资格审核的供应商，择优选取3-5家，</w:t>
      </w:r>
      <w:r>
        <w:rPr>
          <w:rFonts w:hint="eastAsia" w:asciiTheme="minorEastAsia" w:hAnsiTheme="minorEastAsia" w:eastAsiaTheme="minorEastAsia"/>
          <w:sz w:val="28"/>
          <w:szCs w:val="28"/>
          <w:lang w:val="en-US" w:eastAsia="zh-CN"/>
        </w:rPr>
        <w:t>邀请来院参加现场遴选会</w:t>
      </w:r>
      <w:r>
        <w:rPr>
          <w:rFonts w:hint="eastAsia" w:cs="Times New Roman" w:asciiTheme="minorEastAsia" w:hAnsiTheme="minorEastAsia" w:eastAsiaTheme="minorEastAsia"/>
          <w:sz w:val="28"/>
          <w:szCs w:val="28"/>
          <w:lang w:val="en-US" w:eastAsia="zh-CN"/>
        </w:rPr>
        <w:t>。</w:t>
      </w:r>
    </w:p>
    <w:p w14:paraId="37EC8EBA">
      <w:pPr>
        <w:pStyle w:val="11"/>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3.本项目严禁各供应商进行恶意串通、恶意竞争或其它违规行为。</w:t>
      </w:r>
    </w:p>
    <w:p w14:paraId="5C7240DF">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4.供应商需为本项目提交的所有资料真实性负责，如发现虚假材料将列入采购人的采购黑名单，并依法追究相关责任。</w:t>
      </w:r>
    </w:p>
    <w:p w14:paraId="4CE60E7D">
      <w:pPr>
        <w:rPr>
          <w:rFonts w:hint="default"/>
          <w:lang w:val="en-US" w:eastAsia="zh-CN"/>
        </w:rPr>
      </w:pPr>
      <w:r>
        <w:rPr>
          <w:rFonts w:hint="eastAsia" w:asciiTheme="minorEastAsia" w:hAnsiTheme="minorEastAsia" w:eastAsiaTheme="minorEastAsia"/>
          <w:sz w:val="28"/>
          <w:szCs w:val="28"/>
          <w:lang w:val="en-US" w:eastAsia="zh-CN"/>
        </w:rPr>
        <w:t>5.本公告解释权归广东省工人医院所有。</w:t>
      </w:r>
    </w:p>
    <w:p w14:paraId="1C0AC6AB">
      <w:pPr>
        <w:spacing w:line="360" w:lineRule="auto"/>
        <w:jc w:val="center"/>
        <w:rPr>
          <w:rFonts w:asciiTheme="minorEastAsia" w:hAnsiTheme="minorEastAsia" w:eastAsiaTheme="minorEastAsia"/>
          <w:b/>
        </w:rPr>
      </w:pPr>
      <w:r>
        <w:rPr>
          <w:rFonts w:asciiTheme="minorEastAsia" w:hAnsiTheme="minorEastAsia" w:eastAsiaTheme="minorEastAsia"/>
          <w:sz w:val="32"/>
          <w:szCs w:val="32"/>
        </w:rPr>
        <w:br w:type="page"/>
      </w:r>
    </w:p>
    <w:p w14:paraId="3D21C88E">
      <w:pPr>
        <w:pStyle w:val="3"/>
        <w:spacing w:before="156" w:after="156" w:line="360" w:lineRule="auto"/>
        <w:rPr>
          <w:rFonts w:asciiTheme="minorEastAsia" w:hAnsiTheme="minorEastAsia" w:eastAsiaTheme="minorEastAsia"/>
        </w:rPr>
        <w:sectPr>
          <w:headerReference r:id="rId3" w:type="default"/>
          <w:pgSz w:w="11906" w:h="16838"/>
          <w:pgMar w:top="1440" w:right="1803" w:bottom="1440" w:left="1803" w:header="0" w:footer="907" w:gutter="0"/>
          <w:pgNumType w:start="1"/>
          <w:cols w:space="720" w:num="1"/>
          <w:docGrid w:type="lines" w:linePitch="312" w:charSpace="0"/>
        </w:sectPr>
      </w:pPr>
    </w:p>
    <w:p w14:paraId="0700B64C">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一、项目基本信息</w:t>
      </w:r>
    </w:p>
    <w:p w14:paraId="1CCECF12">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1、项目名称：广东省工人医院2025-2026年车辆租赁服务采购项目</w:t>
      </w:r>
    </w:p>
    <w:p w14:paraId="277BC7A9">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2、项目编号：粤工采【2025】002-C-X</w:t>
      </w:r>
    </w:p>
    <w:p w14:paraId="327E2945">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3、需求内容：</w:t>
      </w:r>
    </w:p>
    <w:p w14:paraId="3C9AC176">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①通勤车（固定需求）</w:t>
      </w:r>
    </w:p>
    <w:p w14:paraId="786EF26B">
      <w:pPr>
        <w:pStyle w:val="11"/>
        <w:spacing w:before="156" w:beforeLines="50" w:after="156" w:afterLines="50" w:line="360" w:lineRule="auto"/>
        <w:ind w:left="0" w:leftChars="0" w:firstLine="0" w:firstLineChars="0"/>
        <w:rPr>
          <w:rFonts w:hint="default" w:cs="Times New Roman"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上班路线：06：45南方医科大学珠江医</w:t>
      </w:r>
      <w:r>
        <w:rPr>
          <w:rFonts w:hint="eastAsia" w:cs="Times New Roman" w:asciiTheme="minorEastAsia" w:hAnsiTheme="minorEastAsia" w:eastAsiaTheme="minorEastAsia"/>
          <w:sz w:val="28"/>
          <w:szCs w:val="28"/>
          <w:lang w:val="en-US" w:eastAsia="zh-CN"/>
        </w:rPr>
        <w:t>院</w:t>
      </w:r>
      <w:r>
        <w:rPr>
          <w:rFonts w:hint="eastAsia" w:asciiTheme="minorEastAsia" w:hAnsiTheme="minorEastAsia" w:eastAsiaTheme="minorEastAsia"/>
          <w:sz w:val="28"/>
          <w:szCs w:val="28"/>
          <w:lang w:val="en-US" w:eastAsia="zh-CN"/>
        </w:rPr>
        <w:t>后门（住院部病房大楼）→</w:t>
      </w:r>
      <w:r>
        <w:rPr>
          <w:rFonts w:hint="default" w:asciiTheme="minorEastAsia" w:hAnsiTheme="minorEastAsia" w:eastAsiaTheme="minorEastAsia"/>
          <w:sz w:val="28"/>
          <w:szCs w:val="28"/>
          <w:lang w:val="en-US" w:eastAsia="zh-CN"/>
        </w:rPr>
        <w:t>江燕路</w:t>
      </w:r>
      <w:r>
        <w:rPr>
          <w:rFonts w:hint="eastAsia" w:asciiTheme="minorEastAsia" w:hAnsiTheme="minorEastAsia" w:eastAsiaTheme="minorEastAsia"/>
          <w:sz w:val="28"/>
          <w:szCs w:val="28"/>
          <w:lang w:val="en-US" w:eastAsia="zh-CN"/>
        </w:rPr>
        <w:t>（香江家居品牌工厂批发城）</w:t>
      </w:r>
      <w:r>
        <w:rPr>
          <w:rFonts w:hint="default" w:asciiTheme="minorEastAsia" w:hAnsiTheme="minorEastAsia" w:eastAsiaTheme="minorEastAsia"/>
          <w:sz w:val="28"/>
          <w:szCs w:val="28"/>
          <w:lang w:val="en-US" w:eastAsia="zh-CN"/>
        </w:rPr>
        <w:t>→怡乐村</w:t>
      </w:r>
      <w:r>
        <w:rPr>
          <w:rFonts w:hint="eastAsia" w:asciiTheme="minorEastAsia" w:hAnsiTheme="minorEastAsia" w:eastAsiaTheme="minorEastAsia"/>
          <w:sz w:val="28"/>
          <w:szCs w:val="28"/>
          <w:lang w:val="en-US" w:eastAsia="zh-CN"/>
        </w:rPr>
        <w:t>（怡乐村1公交站）</w:t>
      </w:r>
      <w:r>
        <w:rPr>
          <w:rFonts w:hint="default" w:asciiTheme="minorEastAsia" w:hAnsiTheme="minorEastAsia" w:eastAsiaTheme="minorEastAsia"/>
          <w:sz w:val="28"/>
          <w:szCs w:val="28"/>
          <w:lang w:val="en-US" w:eastAsia="zh-CN"/>
        </w:rPr>
        <w:t>→中大市场</w:t>
      </w:r>
      <w:r>
        <w:rPr>
          <w:rFonts w:hint="eastAsia" w:asciiTheme="minorEastAsia" w:hAnsiTheme="minorEastAsia" w:eastAsiaTheme="minorEastAsia"/>
          <w:sz w:val="28"/>
          <w:szCs w:val="28"/>
          <w:lang w:val="en-US" w:eastAsia="zh-CN"/>
        </w:rPr>
        <w:t>（中大国际轻纺城A区）</w:t>
      </w:r>
      <w:r>
        <w:rPr>
          <w:rFonts w:hint="default" w:asciiTheme="minorEastAsia" w:hAnsiTheme="minorEastAsia" w:eastAsiaTheme="minorEastAsia"/>
          <w:sz w:val="28"/>
          <w:szCs w:val="28"/>
          <w:lang w:val="en-US" w:eastAsia="zh-CN"/>
        </w:rPr>
        <w:t>→康乐牌坊</w:t>
      </w:r>
      <w:r>
        <w:rPr>
          <w:rFonts w:hint="eastAsia" w:asciiTheme="minorEastAsia" w:hAnsiTheme="minorEastAsia" w:eastAsiaTheme="minorEastAsia"/>
          <w:sz w:val="28"/>
          <w:szCs w:val="28"/>
          <w:lang w:val="en-US" w:eastAsia="zh-CN"/>
        </w:rPr>
        <w:t>（</w:t>
      </w:r>
      <w:r>
        <w:rPr>
          <w:rFonts w:hint="default" w:asciiTheme="minorEastAsia" w:hAnsiTheme="minorEastAsia" w:eastAsiaTheme="minorEastAsia"/>
          <w:sz w:val="28"/>
          <w:szCs w:val="28"/>
          <w:lang w:val="en-US" w:eastAsia="zh-CN"/>
        </w:rPr>
        <w:t>康乐村2公交站</w:t>
      </w:r>
      <w:r>
        <w:rPr>
          <w:rFonts w:hint="eastAsia" w:asciiTheme="minorEastAsia" w:hAnsiTheme="minorEastAsia" w:eastAsiaTheme="minorEastAsia"/>
          <w:sz w:val="28"/>
          <w:szCs w:val="28"/>
          <w:lang w:val="en-US" w:eastAsia="zh-CN"/>
        </w:rPr>
        <w:t>）</w:t>
      </w:r>
      <w:r>
        <w:rPr>
          <w:rFonts w:hint="default" w:asciiTheme="minorEastAsia" w:hAnsiTheme="minorEastAsia" w:eastAsiaTheme="minorEastAsia"/>
          <w:sz w:val="28"/>
          <w:szCs w:val="28"/>
          <w:lang w:val="en-US" w:eastAsia="zh-CN"/>
        </w:rPr>
        <w:t>→鹭江地铁站</w:t>
      </w:r>
      <w:r>
        <w:rPr>
          <w:rFonts w:hint="eastAsia" w:asciiTheme="minorEastAsia" w:hAnsiTheme="minorEastAsia" w:eastAsiaTheme="minorEastAsia"/>
          <w:sz w:val="28"/>
          <w:szCs w:val="28"/>
          <w:lang w:val="en-US" w:eastAsia="zh-CN"/>
        </w:rPr>
        <w:t>（中港四航局宿舍186号楼）</w:t>
      </w:r>
      <w:r>
        <w:rPr>
          <w:rFonts w:hint="default" w:asciiTheme="minorEastAsia" w:hAnsiTheme="minorEastAsia" w:eastAsiaTheme="minorEastAsia"/>
          <w:sz w:val="28"/>
          <w:szCs w:val="28"/>
          <w:lang w:val="en-US" w:eastAsia="zh-CN"/>
        </w:rPr>
        <w:t>→客村地铁站</w:t>
      </w:r>
      <w:r>
        <w:rPr>
          <w:rFonts w:hint="eastAsia" w:asciiTheme="minorEastAsia" w:hAnsiTheme="minorEastAsia" w:eastAsiaTheme="minorEastAsia"/>
          <w:sz w:val="28"/>
          <w:szCs w:val="28"/>
          <w:lang w:val="en-US" w:eastAsia="zh-CN"/>
        </w:rPr>
        <w:t>（珠影(地铁客村站)2公交站）</w:t>
      </w:r>
      <w:r>
        <w:rPr>
          <w:rFonts w:hint="default" w:asciiTheme="minorEastAsia" w:hAnsiTheme="minorEastAsia" w:eastAsiaTheme="minorEastAsia"/>
          <w:sz w:val="28"/>
          <w:szCs w:val="28"/>
          <w:lang w:val="en-US" w:eastAsia="zh-CN"/>
        </w:rPr>
        <w:t>→赤岗</w:t>
      </w:r>
      <w:r>
        <w:rPr>
          <w:rFonts w:hint="eastAsia" w:asciiTheme="minorEastAsia" w:hAnsiTheme="minorEastAsia" w:eastAsiaTheme="minorEastAsia"/>
          <w:sz w:val="28"/>
          <w:szCs w:val="28"/>
          <w:lang w:val="en-US" w:eastAsia="zh-CN"/>
        </w:rPr>
        <w:t>（鸿运社区居委会广州银行）</w:t>
      </w:r>
      <w:r>
        <w:rPr>
          <w:rFonts w:hint="default" w:asciiTheme="minorEastAsia" w:hAnsiTheme="minorEastAsia" w:eastAsiaTheme="minorEastAsia"/>
          <w:sz w:val="28"/>
          <w:szCs w:val="28"/>
          <w:lang w:val="en-US" w:eastAsia="zh-CN"/>
        </w:rPr>
        <w:t>→龙潭村</w:t>
      </w:r>
      <w:r>
        <w:rPr>
          <w:rFonts w:hint="eastAsia" w:asciiTheme="minorEastAsia" w:hAnsiTheme="minorEastAsia" w:eastAsiaTheme="minorEastAsia"/>
          <w:sz w:val="28"/>
          <w:szCs w:val="28"/>
          <w:lang w:val="en-US" w:eastAsia="zh-CN"/>
        </w:rPr>
        <w:t>（</w:t>
      </w:r>
      <w:r>
        <w:rPr>
          <w:rFonts w:hint="default" w:asciiTheme="minorEastAsia" w:hAnsiTheme="minorEastAsia" w:eastAsiaTheme="minorEastAsia"/>
          <w:sz w:val="28"/>
          <w:szCs w:val="28"/>
          <w:lang w:val="en-US" w:eastAsia="zh-CN"/>
        </w:rPr>
        <w:t>龙潭村公交站</w:t>
      </w:r>
      <w:r>
        <w:rPr>
          <w:rFonts w:hint="eastAsia" w:asciiTheme="minorEastAsia" w:hAnsiTheme="minorEastAsia" w:eastAsiaTheme="minorEastAsia"/>
          <w:sz w:val="28"/>
          <w:szCs w:val="28"/>
          <w:lang w:val="en-US" w:eastAsia="zh-CN"/>
        </w:rPr>
        <w:t>）</w:t>
      </w:r>
      <w:r>
        <w:rPr>
          <w:rFonts w:hint="default" w:asciiTheme="minorEastAsia" w:hAnsiTheme="minorEastAsia" w:eastAsiaTheme="minorEastAsia"/>
          <w:sz w:val="28"/>
          <w:szCs w:val="28"/>
          <w:lang w:val="en-US" w:eastAsia="zh-CN"/>
        </w:rPr>
        <w:t>→大学城北地铁站→深井地铁站a口</w:t>
      </w:r>
      <w:r>
        <w:rPr>
          <w:rFonts w:hint="eastAsia" w:asciiTheme="minorEastAsia" w:hAnsiTheme="minorEastAsia" w:eastAsiaTheme="minorEastAsia"/>
          <w:sz w:val="28"/>
          <w:szCs w:val="28"/>
          <w:lang w:val="en-US" w:eastAsia="zh-CN"/>
        </w:rPr>
        <w:t>→广东省工人医院停车场07：55（约31公里）</w:t>
      </w:r>
    </w:p>
    <w:p w14:paraId="4FD165D1">
      <w:pPr>
        <w:pStyle w:val="11"/>
        <w:spacing w:before="156" w:beforeLines="50" w:after="156" w:afterLines="50" w:line="360" w:lineRule="auto"/>
        <w:ind w:left="0" w:leftChars="0" w:firstLine="0" w:firstLineChars="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下班路线：</w:t>
      </w:r>
      <w:r>
        <w:rPr>
          <w:rFonts w:hint="eastAsia" w:cs="Times New Roman" w:asciiTheme="minorEastAsia" w:hAnsiTheme="minorEastAsia" w:eastAsiaTheme="minorEastAsia"/>
          <w:sz w:val="28"/>
          <w:szCs w:val="28"/>
          <w:lang w:val="en-US" w:eastAsia="zh-CN"/>
        </w:rPr>
        <w:t>17：35广东省工人医院停车场→</w:t>
      </w:r>
      <w:r>
        <w:rPr>
          <w:rFonts w:hint="default" w:cs="Times New Roman" w:asciiTheme="minorEastAsia" w:hAnsiTheme="minorEastAsia" w:eastAsiaTheme="minorEastAsia"/>
          <w:sz w:val="28"/>
          <w:szCs w:val="28"/>
          <w:lang w:val="en-US" w:eastAsia="zh-CN"/>
        </w:rPr>
        <w:t>深井地铁站c口→大学城北地铁站→</w:t>
      </w:r>
      <w:r>
        <w:rPr>
          <w:rFonts w:hint="default" w:asciiTheme="minorEastAsia" w:hAnsiTheme="minorEastAsia" w:eastAsiaTheme="minorEastAsia"/>
          <w:sz w:val="28"/>
          <w:szCs w:val="28"/>
          <w:lang w:val="en-US" w:eastAsia="zh-CN"/>
        </w:rPr>
        <w:t>龙潭村</w:t>
      </w:r>
      <w:r>
        <w:rPr>
          <w:rFonts w:hint="eastAsia" w:asciiTheme="minorEastAsia" w:hAnsiTheme="minorEastAsia" w:eastAsiaTheme="minorEastAsia"/>
          <w:sz w:val="28"/>
          <w:szCs w:val="28"/>
          <w:lang w:val="en-US" w:eastAsia="zh-CN"/>
        </w:rPr>
        <w:t>（</w:t>
      </w:r>
      <w:r>
        <w:rPr>
          <w:rFonts w:hint="default" w:asciiTheme="minorEastAsia" w:hAnsiTheme="minorEastAsia" w:eastAsiaTheme="minorEastAsia"/>
          <w:sz w:val="28"/>
          <w:szCs w:val="28"/>
          <w:lang w:val="en-US" w:eastAsia="zh-CN"/>
        </w:rPr>
        <w:t>龙潭村公交站</w:t>
      </w:r>
      <w:r>
        <w:rPr>
          <w:rFonts w:hint="eastAsia" w:asciiTheme="minorEastAsia" w:hAnsiTheme="minorEastAsia" w:eastAsiaTheme="minorEastAsia"/>
          <w:sz w:val="28"/>
          <w:szCs w:val="28"/>
          <w:lang w:val="en-US" w:eastAsia="zh-CN"/>
        </w:rPr>
        <w:t>）</w:t>
      </w:r>
      <w:r>
        <w:rPr>
          <w:rFonts w:hint="default" w:cs="Times New Roman" w:asciiTheme="minorEastAsia" w:hAnsiTheme="minorEastAsia" w:eastAsiaTheme="minorEastAsia"/>
          <w:sz w:val="28"/>
          <w:szCs w:val="28"/>
          <w:lang w:val="en-US" w:eastAsia="zh-CN"/>
        </w:rPr>
        <w:t>→赤岗（鸿运社区居委会广州银行）→客村地铁站（珠影(地铁客村站)2公交站）→</w:t>
      </w:r>
      <w:r>
        <w:rPr>
          <w:rFonts w:hint="default" w:asciiTheme="minorEastAsia" w:hAnsiTheme="minorEastAsia" w:eastAsiaTheme="minorEastAsia"/>
          <w:sz w:val="28"/>
          <w:szCs w:val="28"/>
          <w:lang w:val="en-US" w:eastAsia="zh-CN"/>
        </w:rPr>
        <w:t>鹭江地铁站</w:t>
      </w:r>
      <w:r>
        <w:rPr>
          <w:rFonts w:hint="eastAsia" w:asciiTheme="minorEastAsia" w:hAnsiTheme="minorEastAsia" w:eastAsiaTheme="minorEastAsia"/>
          <w:sz w:val="28"/>
          <w:szCs w:val="28"/>
          <w:lang w:val="en-US" w:eastAsia="zh-CN"/>
        </w:rPr>
        <w:t>（中港四航局宿舍186号楼）</w:t>
      </w:r>
      <w:r>
        <w:rPr>
          <w:rFonts w:hint="default" w:cs="Times New Roman" w:asciiTheme="minorEastAsia" w:hAnsiTheme="minorEastAsia" w:eastAsiaTheme="minorEastAsia"/>
          <w:sz w:val="28"/>
          <w:szCs w:val="28"/>
          <w:lang w:val="en-US" w:eastAsia="zh-CN"/>
        </w:rPr>
        <w:t>→康乐牌坊（康乐村2公交站）→中大市场（中大国际轻纺城A区）→怡乐村（怡乐村1公交站）→江燕路（香江家居品牌工厂批发城）→南方医科大学珠江医院后门（住院部病房大楼）</w:t>
      </w:r>
      <w:r>
        <w:rPr>
          <w:rFonts w:hint="eastAsia" w:asciiTheme="minorEastAsia" w:hAnsiTheme="minorEastAsia" w:eastAsiaTheme="minorEastAsia"/>
          <w:sz w:val="28"/>
          <w:szCs w:val="28"/>
          <w:lang w:val="en-US" w:eastAsia="zh-CN"/>
        </w:rPr>
        <w:t>（约32公里）</w:t>
      </w:r>
    </w:p>
    <w:p w14:paraId="5E2EDE7F">
      <w:pPr>
        <w:pStyle w:val="11"/>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路程：约63公里/天</w:t>
      </w:r>
    </w:p>
    <w:p w14:paraId="3E74C5FD">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天数：250个工作日/年（特殊情况根据实际情况另行安排）</w:t>
      </w:r>
    </w:p>
    <w:p w14:paraId="5911E994">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②业务用车（一）（固定需求）</w:t>
      </w:r>
    </w:p>
    <w:p w14:paraId="2C18E3DD">
      <w:pPr>
        <w:pStyle w:val="11"/>
        <w:spacing w:before="156" w:beforeLines="50" w:after="156" w:afterLines="50" w:line="360" w:lineRule="auto"/>
        <w:ind w:left="0" w:leftChars="0" w:firstLine="0" w:firstLineChars="0"/>
        <w:rPr>
          <w:rFonts w:hint="eastAsia" w:cs="Times New Roman"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2025年“100场义诊+心理讲座”项目专用车</w:t>
      </w:r>
      <w:r>
        <w:rPr>
          <w:rFonts w:hint="default" w:asciiTheme="minorEastAsia" w:hAnsiTheme="minorEastAsia" w:eastAsiaTheme="minorEastAsia"/>
          <w:sz w:val="28"/>
          <w:szCs w:val="28"/>
          <w:lang w:val="en-US" w:eastAsia="zh-CN"/>
        </w:rPr>
        <w:t>：</w:t>
      </w:r>
      <w:r>
        <w:rPr>
          <w:rFonts w:hint="eastAsia" w:asciiTheme="minorEastAsia" w:hAnsiTheme="minorEastAsia" w:eastAsiaTheme="minorEastAsia"/>
          <w:sz w:val="28"/>
          <w:szCs w:val="28"/>
          <w:lang w:val="en-US" w:eastAsia="zh-CN"/>
        </w:rPr>
        <w:t>项目地点在</w:t>
      </w:r>
      <w:r>
        <w:rPr>
          <w:rFonts w:hint="default" w:asciiTheme="minorEastAsia" w:hAnsiTheme="minorEastAsia" w:eastAsiaTheme="minorEastAsia"/>
          <w:sz w:val="28"/>
          <w:szCs w:val="28"/>
          <w:lang w:val="en-US" w:eastAsia="zh-CN"/>
        </w:rPr>
        <w:t>广东省内</w:t>
      </w:r>
      <w:r>
        <w:rPr>
          <w:rFonts w:hint="eastAsia" w:asciiTheme="minorEastAsia" w:hAnsiTheme="minorEastAsia" w:eastAsiaTheme="minorEastAsia"/>
          <w:sz w:val="28"/>
          <w:szCs w:val="28"/>
          <w:lang w:val="en-US" w:eastAsia="zh-CN"/>
        </w:rPr>
        <w:t>各地级市，分阶段进行，每阶段</w:t>
      </w:r>
      <w:r>
        <w:rPr>
          <w:rFonts w:hint="default" w:asciiTheme="minorEastAsia" w:hAnsiTheme="minorEastAsia" w:eastAsiaTheme="minorEastAsia"/>
          <w:sz w:val="28"/>
          <w:szCs w:val="28"/>
          <w:lang w:val="en-US" w:eastAsia="zh-CN"/>
        </w:rPr>
        <w:t>连续时间一周的持续性任务，</w:t>
      </w:r>
      <w:r>
        <w:rPr>
          <w:rFonts w:hint="eastAsia" w:asciiTheme="minorEastAsia" w:hAnsiTheme="minorEastAsia" w:eastAsiaTheme="minorEastAsia"/>
          <w:sz w:val="28"/>
          <w:szCs w:val="28"/>
          <w:lang w:val="en-US" w:eastAsia="zh-CN"/>
        </w:rPr>
        <w:t>项目队伍规模为40人左右，</w:t>
      </w:r>
      <w:r>
        <w:rPr>
          <w:rFonts w:hint="default" w:asciiTheme="minorEastAsia" w:hAnsiTheme="minorEastAsia" w:eastAsiaTheme="minorEastAsia"/>
          <w:sz w:val="28"/>
          <w:szCs w:val="28"/>
          <w:lang w:val="en-US" w:eastAsia="zh-CN"/>
        </w:rPr>
        <w:t>司机需</w:t>
      </w:r>
      <w:r>
        <w:rPr>
          <w:rFonts w:hint="default" w:cs="Times New Roman" w:asciiTheme="minorEastAsia" w:hAnsiTheme="minorEastAsia" w:eastAsiaTheme="minorEastAsia"/>
          <w:sz w:val="28"/>
          <w:szCs w:val="28"/>
          <w:lang w:val="en-US" w:eastAsia="zh-CN"/>
        </w:rPr>
        <w:t>随队伍外驻，</w:t>
      </w:r>
      <w:r>
        <w:rPr>
          <w:rFonts w:hint="eastAsia" w:cs="Times New Roman" w:asciiTheme="minorEastAsia" w:hAnsiTheme="minorEastAsia" w:eastAsiaTheme="minorEastAsia"/>
          <w:sz w:val="28"/>
          <w:szCs w:val="28"/>
          <w:lang w:val="en-US" w:eastAsia="zh-CN"/>
        </w:rPr>
        <w:t>食</w:t>
      </w:r>
      <w:r>
        <w:rPr>
          <w:rFonts w:hint="default" w:cs="Times New Roman" w:asciiTheme="minorEastAsia" w:hAnsiTheme="minorEastAsia" w:eastAsiaTheme="minorEastAsia"/>
          <w:sz w:val="28"/>
          <w:szCs w:val="28"/>
          <w:lang w:val="en-US" w:eastAsia="zh-CN"/>
        </w:rPr>
        <w:t>宿由医院统一安排</w:t>
      </w:r>
    </w:p>
    <w:p w14:paraId="70B92011">
      <w:pPr>
        <w:pStyle w:val="11"/>
        <w:spacing w:before="156" w:beforeLines="50" w:after="156" w:afterLines="50" w:line="360" w:lineRule="auto"/>
        <w:ind w:left="0" w:leftChars="0" w:firstLine="0" w:firstLineChars="0"/>
        <w:rPr>
          <w:rFonts w:hint="default"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路程与天数：按实际发生情况，预计出行天数不少于100个自然日</w:t>
      </w:r>
    </w:p>
    <w:p w14:paraId="27F6F596">
      <w:pPr>
        <w:pStyle w:val="11"/>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③业务用车（二）（机动需求）</w:t>
      </w:r>
    </w:p>
    <w:p w14:paraId="778D21A3">
      <w:pPr>
        <w:pStyle w:val="11"/>
        <w:spacing w:before="156" w:beforeLines="50" w:after="156" w:afterLines="50" w:line="360" w:lineRule="auto"/>
        <w:ind w:left="0" w:leftChars="0" w:firstLine="0" w:firstLineChars="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外出党团建、调研、讲座、义诊、大型会议活动：多为广东省内（主要是广州市内）当天往返</w:t>
      </w:r>
    </w:p>
    <w:p w14:paraId="2206FF4E">
      <w:pPr>
        <w:pStyle w:val="11"/>
        <w:spacing w:before="156" w:beforeLines="50" w:after="156" w:afterLines="50" w:line="360" w:lineRule="auto"/>
        <w:ind w:left="0" w:leftChars="0" w:firstLine="0" w:firstLineChars="0"/>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外出体检任务：多为广东省内（除广州市、佛山市）连续时间一周以上的持续性任务，</w:t>
      </w:r>
      <w:r>
        <w:rPr>
          <w:rFonts w:hint="eastAsia" w:asciiTheme="minorEastAsia" w:hAnsiTheme="minorEastAsia" w:eastAsiaTheme="minorEastAsia"/>
          <w:sz w:val="28"/>
          <w:szCs w:val="28"/>
          <w:lang w:val="en-US" w:eastAsia="zh-CN"/>
        </w:rPr>
        <w:t>队伍规模在25人以内，</w:t>
      </w:r>
      <w:r>
        <w:rPr>
          <w:rFonts w:hint="eastAsia" w:cs="Times New Roman" w:asciiTheme="minorEastAsia" w:hAnsiTheme="minorEastAsia" w:eastAsiaTheme="minorEastAsia"/>
          <w:sz w:val="28"/>
          <w:szCs w:val="28"/>
          <w:lang w:val="en-US" w:eastAsia="zh-CN"/>
        </w:rPr>
        <w:t>司机需随体检队伍外驻，食宿由医院统一安排</w:t>
      </w:r>
    </w:p>
    <w:p w14:paraId="00A2ACBE">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路程与天数：按实际发生情况</w:t>
      </w:r>
    </w:p>
    <w:p w14:paraId="13E64A89">
      <w:pPr>
        <w:pStyle w:val="11"/>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④驾驶员服务（备用需求）</w:t>
      </w:r>
    </w:p>
    <w:p w14:paraId="2A67CA63">
      <w:pPr>
        <w:pStyle w:val="11"/>
        <w:spacing w:before="156" w:beforeLines="50" w:after="156" w:afterLines="50" w:line="360" w:lineRule="auto"/>
        <w:ind w:left="0" w:leftChars="0" w:firstLine="0" w:firstLineChars="0"/>
        <w:rPr>
          <w:rFonts w:hint="default" w:asciiTheme="minorEastAsia" w:hAnsiTheme="minorEastAsia" w:eastAsiaTheme="minorEastAsia"/>
          <w:sz w:val="28"/>
          <w:szCs w:val="28"/>
          <w:lang w:val="en-US" w:eastAsia="zh-CN"/>
        </w:rPr>
      </w:pPr>
      <w:r>
        <w:rPr>
          <w:rFonts w:hint="default" w:asciiTheme="minorEastAsia" w:hAnsiTheme="minorEastAsia" w:eastAsiaTheme="minorEastAsia"/>
          <w:sz w:val="28"/>
          <w:szCs w:val="28"/>
          <w:lang w:val="en-US" w:eastAsia="zh-CN"/>
        </w:rPr>
        <w:t>特殊情况下后勤管理科因车管部司机人手不足需进行的临时租赁行为</w:t>
      </w:r>
    </w:p>
    <w:p w14:paraId="64EA5F34">
      <w:pPr>
        <w:pStyle w:val="11"/>
        <w:spacing w:before="156" w:beforeLines="50" w:after="156" w:afterLines="50" w:line="360" w:lineRule="auto"/>
        <w:rPr>
          <w:rFonts w:hint="default"/>
          <w:lang w:val="en-US" w:eastAsia="zh-CN"/>
        </w:rPr>
      </w:pPr>
      <w:r>
        <w:rPr>
          <w:rFonts w:hint="eastAsia" w:cs="Times New Roman" w:asciiTheme="minorEastAsia" w:hAnsiTheme="minorEastAsia" w:eastAsiaTheme="minorEastAsia"/>
          <w:sz w:val="28"/>
          <w:szCs w:val="28"/>
          <w:lang w:val="en-US" w:eastAsia="zh-CN"/>
        </w:rPr>
        <w:t>路程与天数：按实际发生情况</w:t>
      </w:r>
    </w:p>
    <w:p w14:paraId="4C3DDBAA">
      <w:pPr>
        <w:pStyle w:val="11"/>
        <w:numPr>
          <w:ilvl w:val="0"/>
          <w:numId w:val="0"/>
        </w:numPr>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4、项目预算金额：45万元/年。本次采购的内容是协议服务资格的取得，并不代表服务已成交，服务费用按实际产生的费用结算。本项目预算金额仅为服务期间预估金额，采购人不保证预算金额的服务量，成交供应商应理解并承担其可能带来的风险。</w:t>
      </w:r>
    </w:p>
    <w:p w14:paraId="38158CCF">
      <w:pPr>
        <w:pStyle w:val="11"/>
        <w:numPr>
          <w:ilvl w:val="0"/>
          <w:numId w:val="0"/>
        </w:numPr>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5、服务周期：合同期两年。若合同有效期内结算金额累计达到999,999元时，合同自动终止；若成交供应商在合作期间有违约现象发生，采购人有权终止合同，并提前30个自然日以上（包含30个自然日）通知成交供应商。</w:t>
      </w:r>
    </w:p>
    <w:p w14:paraId="17A0F653">
      <w:pPr>
        <w:pStyle w:val="11"/>
        <w:spacing w:before="156" w:beforeLines="50" w:after="156" w:afterLines="50" w:line="360" w:lineRule="auto"/>
        <w:rPr>
          <w:rFonts w:hint="eastAsia"/>
          <w:lang w:val="en-US" w:eastAsia="zh-CN"/>
        </w:rPr>
      </w:pPr>
      <w:r>
        <w:rPr>
          <w:rFonts w:hint="eastAsia" w:cs="Times New Roman" w:asciiTheme="minorEastAsia" w:hAnsiTheme="minorEastAsia" w:eastAsiaTheme="minorEastAsia"/>
          <w:sz w:val="28"/>
          <w:szCs w:val="28"/>
          <w:lang w:val="en-US" w:eastAsia="zh-CN"/>
        </w:rPr>
        <w:t>6、付款方式：</w:t>
      </w:r>
      <w:bookmarkStart w:id="2" w:name="_Hlk169104689"/>
      <w:r>
        <w:rPr>
          <w:rFonts w:hint="eastAsia" w:cs="Times New Roman" w:asciiTheme="minorEastAsia" w:hAnsiTheme="minorEastAsia" w:eastAsiaTheme="minorEastAsia"/>
          <w:sz w:val="28"/>
          <w:szCs w:val="28"/>
          <w:lang w:val="en-US" w:eastAsia="zh-CN"/>
        </w:rPr>
        <w:t>租赁服务费用按月度进行结算。</w:t>
      </w:r>
      <w:r>
        <w:rPr>
          <w:rFonts w:hint="eastAsia" w:asciiTheme="minorEastAsia" w:hAnsiTheme="minorEastAsia" w:eastAsiaTheme="minorEastAsia"/>
          <w:sz w:val="28"/>
          <w:szCs w:val="28"/>
          <w:lang w:val="en-US" w:eastAsia="zh-CN"/>
        </w:rPr>
        <w:t>成交供应商</w:t>
      </w:r>
      <w:r>
        <w:rPr>
          <w:rFonts w:hint="eastAsia" w:cs="Times New Roman" w:asciiTheme="minorEastAsia" w:hAnsiTheme="minorEastAsia" w:eastAsiaTheme="minorEastAsia"/>
          <w:sz w:val="28"/>
          <w:szCs w:val="28"/>
          <w:lang w:val="en-US" w:eastAsia="zh-CN"/>
        </w:rPr>
        <w:t>须在次月5日前开具上月的正式税务发票原件交采购人。满足合同约定支付条件的情况下，采购人在收到</w:t>
      </w:r>
      <w:r>
        <w:rPr>
          <w:rFonts w:hint="eastAsia" w:asciiTheme="minorEastAsia" w:hAnsiTheme="minorEastAsia" w:eastAsiaTheme="minorEastAsia"/>
          <w:sz w:val="28"/>
          <w:szCs w:val="28"/>
          <w:lang w:val="en-US" w:eastAsia="zh-CN"/>
        </w:rPr>
        <w:t>成交供应商</w:t>
      </w:r>
      <w:r>
        <w:rPr>
          <w:rFonts w:hint="eastAsia" w:cs="Times New Roman" w:asciiTheme="minorEastAsia" w:hAnsiTheme="minorEastAsia" w:eastAsiaTheme="minorEastAsia"/>
          <w:sz w:val="28"/>
          <w:szCs w:val="28"/>
          <w:lang w:val="en-US" w:eastAsia="zh-CN"/>
        </w:rPr>
        <w:t>发票20个工作日内开始办理支付手续。如</w:t>
      </w:r>
      <w:r>
        <w:rPr>
          <w:rFonts w:hint="eastAsia" w:asciiTheme="minorEastAsia" w:hAnsiTheme="minorEastAsia" w:eastAsiaTheme="minorEastAsia"/>
          <w:sz w:val="28"/>
          <w:szCs w:val="28"/>
          <w:lang w:val="en-US" w:eastAsia="zh-CN"/>
        </w:rPr>
        <w:t>成交供应商</w:t>
      </w:r>
      <w:r>
        <w:rPr>
          <w:rFonts w:hint="eastAsia" w:cs="Times New Roman" w:asciiTheme="minorEastAsia" w:hAnsiTheme="minorEastAsia" w:eastAsiaTheme="minorEastAsia"/>
          <w:sz w:val="28"/>
          <w:szCs w:val="28"/>
          <w:lang w:val="en-US" w:eastAsia="zh-CN"/>
        </w:rPr>
        <w:t>提供服务不足一个月时按日计算。</w:t>
      </w:r>
      <w:bookmarkEnd w:id="2"/>
    </w:p>
    <w:p w14:paraId="0E7C0C28">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二、供应商报名资格要求</w:t>
      </w:r>
    </w:p>
    <w:p w14:paraId="3454BA97">
      <w:pPr>
        <w:pStyle w:val="11"/>
        <w:spacing w:before="156" w:beforeLines="50" w:after="156" w:afterLines="50" w:line="360" w:lineRule="auto"/>
        <w:rPr>
          <w:rFonts w:hint="eastAsia" w:cs="Times New Roman" w:asciiTheme="minorEastAsia" w:hAnsiTheme="minorEastAsia" w:eastAsiaTheme="minorEastAsia"/>
          <w:snapToGrid w:val="0"/>
          <w:color w:val="000000"/>
          <w:sz w:val="28"/>
          <w:szCs w:val="28"/>
          <w:lang w:val="en-US" w:eastAsia="zh-CN" w:bidi="ar-SA"/>
        </w:rPr>
      </w:pPr>
      <w:r>
        <w:rPr>
          <w:rFonts w:hint="eastAsia" w:asciiTheme="minorEastAsia" w:hAnsiTheme="minorEastAsia" w:eastAsiaTheme="minorEastAsia"/>
          <w:sz w:val="28"/>
          <w:szCs w:val="28"/>
          <w:lang w:val="en-US" w:eastAsia="zh-CN"/>
        </w:rPr>
        <w:t>★1、</w:t>
      </w:r>
      <w:r>
        <w:rPr>
          <w:rFonts w:hint="eastAsia" w:cs="Times New Roman" w:asciiTheme="minorEastAsia" w:hAnsiTheme="minorEastAsia" w:eastAsiaTheme="minorEastAsia"/>
          <w:snapToGrid w:val="0"/>
          <w:color w:val="000000"/>
          <w:sz w:val="28"/>
          <w:szCs w:val="28"/>
          <w:lang w:val="en-US" w:eastAsia="zh-CN" w:bidi="ar-SA"/>
        </w:rPr>
        <w:t>在中华人民共和国境内注册的具有独立承担民事责任能力的法人或其他组织，有依法缴纳税收和社会保障资金的良好记录，具有良好的商业信誉和健全的财务会计制度和履行合同所必需的设备和专业技术能力，须出具承诺函；</w:t>
      </w:r>
    </w:p>
    <w:p w14:paraId="014060D1">
      <w:pPr>
        <w:pStyle w:val="11"/>
        <w:spacing w:before="156" w:beforeLines="50" w:after="156" w:afterLines="50" w:line="360" w:lineRule="auto"/>
        <w:rPr>
          <w:rFonts w:hint="eastAsia" w:cs="Times New Roman" w:asciiTheme="minorEastAsia" w:hAnsiTheme="minorEastAsia" w:eastAsiaTheme="minorEastAsia"/>
          <w:snapToGrid w:val="0"/>
          <w:color w:val="000000"/>
          <w:sz w:val="28"/>
          <w:szCs w:val="28"/>
          <w:lang w:val="en-US" w:eastAsia="zh-CN" w:bidi="ar-SA"/>
        </w:rPr>
      </w:pPr>
      <w:r>
        <w:rPr>
          <w:rFonts w:hint="eastAsia" w:asciiTheme="minorEastAsia" w:hAnsiTheme="minorEastAsia" w:eastAsiaTheme="minorEastAsia"/>
          <w:sz w:val="28"/>
          <w:szCs w:val="28"/>
          <w:lang w:val="en-US" w:eastAsia="zh-CN"/>
        </w:rPr>
        <w:t>★2、</w:t>
      </w:r>
      <w:r>
        <w:rPr>
          <w:rFonts w:hint="eastAsia" w:cs="Times New Roman" w:asciiTheme="minorEastAsia" w:hAnsiTheme="minorEastAsia" w:eastAsiaTheme="minorEastAsia"/>
          <w:snapToGrid w:val="0"/>
          <w:color w:val="000000"/>
          <w:sz w:val="28"/>
          <w:szCs w:val="28"/>
          <w:lang w:val="en-US" w:eastAsia="zh-CN" w:bidi="ar-SA"/>
        </w:rPr>
        <w:t>单位负责人为同一人或者存在直接控股、管理关系的不同供应商，不得参加同一项目报价，一经发现按废标处理并标记为不诚信供应商，须出具声明函；</w:t>
      </w:r>
    </w:p>
    <w:p w14:paraId="66FE9353">
      <w:pPr>
        <w:pStyle w:val="11"/>
        <w:spacing w:before="156" w:beforeLines="50" w:after="156" w:afterLines="50" w:line="360" w:lineRule="auto"/>
        <w:rPr>
          <w:rFonts w:hint="eastAsia" w:cs="Times New Roman" w:asciiTheme="minorEastAsia" w:hAnsiTheme="minorEastAsia" w:eastAsiaTheme="minorEastAsia"/>
          <w:snapToGrid w:val="0"/>
          <w:color w:val="000000"/>
          <w:sz w:val="28"/>
          <w:szCs w:val="28"/>
          <w:lang w:val="en-US" w:eastAsia="zh-CN" w:bidi="ar-SA"/>
        </w:rPr>
      </w:pPr>
      <w:r>
        <w:rPr>
          <w:rFonts w:hint="eastAsia" w:cs="Times New Roman" w:asciiTheme="minorEastAsia" w:hAnsiTheme="minorEastAsia" w:eastAsiaTheme="minorEastAsia"/>
          <w:snapToGrid w:val="0"/>
          <w:color w:val="000000"/>
          <w:sz w:val="28"/>
          <w:szCs w:val="28"/>
          <w:lang w:val="en-US" w:eastAsia="zh-CN" w:bidi="ar-SA"/>
        </w:rPr>
        <w:t>★3、</w:t>
      </w:r>
      <w:r>
        <w:rPr>
          <w:rFonts w:hint="eastAsia" w:asciiTheme="minorEastAsia" w:hAnsiTheme="minorEastAsia" w:eastAsiaTheme="minorEastAsia"/>
          <w:sz w:val="28"/>
          <w:szCs w:val="28"/>
          <w:lang w:eastAsia="zh-CN"/>
        </w:rPr>
        <w:t>响应</w:t>
      </w:r>
      <w:r>
        <w:rPr>
          <w:rFonts w:hint="eastAsia" w:cs="Times New Roman" w:asciiTheme="minorEastAsia" w:hAnsiTheme="minorEastAsia" w:eastAsiaTheme="minorEastAsia"/>
          <w:snapToGrid w:val="0"/>
          <w:color w:val="000000"/>
          <w:sz w:val="28"/>
          <w:szCs w:val="28"/>
          <w:lang w:val="en-US" w:eastAsia="zh-CN" w:bidi="ar-SA"/>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245EC9FF">
      <w:pPr>
        <w:pStyle w:val="11"/>
        <w:spacing w:before="156" w:beforeLines="50" w:after="156" w:afterLines="50" w:line="360" w:lineRule="auto"/>
        <w:rPr>
          <w:rFonts w:hint="eastAsia"/>
          <w:lang w:val="en-US" w:eastAsia="zh-CN"/>
        </w:rPr>
      </w:pPr>
      <w:r>
        <w:rPr>
          <w:rFonts w:hint="eastAsia" w:asciiTheme="minorEastAsia" w:hAnsiTheme="minorEastAsia" w:eastAsiaTheme="minorEastAsia"/>
          <w:sz w:val="28"/>
          <w:szCs w:val="28"/>
          <w:lang w:val="en-US" w:eastAsia="zh-CN"/>
        </w:rPr>
        <w:t>★</w:t>
      </w:r>
      <w:r>
        <w:rPr>
          <w:rFonts w:hint="eastAsia" w:cs="Times New Roman" w:asciiTheme="minorEastAsia" w:hAnsiTheme="minorEastAsia" w:eastAsiaTheme="minorEastAsia"/>
          <w:snapToGrid w:val="0"/>
          <w:color w:val="000000"/>
          <w:sz w:val="28"/>
          <w:szCs w:val="28"/>
          <w:lang w:val="en-US" w:eastAsia="zh-CN" w:bidi="ar-SA"/>
        </w:rPr>
        <w:t>4、</w:t>
      </w:r>
      <w:r>
        <w:rPr>
          <w:rFonts w:hint="eastAsia" w:asciiTheme="minorEastAsia" w:hAnsiTheme="minorEastAsia" w:eastAsiaTheme="minorEastAsia"/>
          <w:sz w:val="28"/>
          <w:szCs w:val="28"/>
          <w:lang w:val="en-US" w:eastAsia="zh-CN"/>
        </w:rPr>
        <w:t>依法取得中华人民共和国境内注册的营业执照（或事业单位法人证书，或社会团体法人登记证书，或执业许可证）、组织机构代码证和税务登记证，须提供证书扫描件；分支机构投标的，还须提供总公司（总所）出具给分支机构的授权书；</w:t>
      </w:r>
    </w:p>
    <w:p w14:paraId="47DC0F53">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napToGrid w:val="0"/>
          <w:color w:val="000000"/>
          <w:sz w:val="28"/>
          <w:szCs w:val="28"/>
          <w:lang w:val="en-US" w:eastAsia="zh-CN" w:bidi="ar-SA"/>
        </w:rPr>
        <w:t>★5、响应供应商须具有有效的《道路运输经营许可证》（经营范围必须包含市际包车</w:t>
      </w:r>
      <w:r>
        <w:rPr>
          <w:rFonts w:hint="eastAsia" w:cs="Times New Roman" w:asciiTheme="minorEastAsia" w:hAnsiTheme="minorEastAsia" w:eastAsiaTheme="minorEastAsia"/>
          <w:sz w:val="28"/>
          <w:szCs w:val="28"/>
          <w:lang w:val="en-US" w:eastAsia="zh-CN"/>
        </w:rPr>
        <w:t>客运等相关内容）、客车租赁经营备案证明，</w:t>
      </w:r>
      <w:r>
        <w:rPr>
          <w:rFonts w:hint="eastAsia" w:cs="Times New Roman" w:asciiTheme="minorEastAsia" w:hAnsiTheme="minorEastAsia" w:eastAsiaTheme="minorEastAsia"/>
          <w:snapToGrid w:val="0"/>
          <w:color w:val="000000"/>
          <w:sz w:val="28"/>
          <w:szCs w:val="28"/>
          <w:lang w:val="en-US" w:eastAsia="zh-CN" w:bidi="ar-SA"/>
        </w:rPr>
        <w:t>须提供证书扫描件</w:t>
      </w:r>
      <w:r>
        <w:rPr>
          <w:rFonts w:hint="eastAsia" w:cs="Times New Roman" w:asciiTheme="minorEastAsia" w:hAnsiTheme="minorEastAsia" w:eastAsiaTheme="minorEastAsia"/>
          <w:sz w:val="28"/>
          <w:szCs w:val="28"/>
          <w:lang w:val="en-US" w:eastAsia="zh-CN"/>
        </w:rPr>
        <w:t>；</w:t>
      </w:r>
    </w:p>
    <w:p w14:paraId="4B218B84">
      <w:pPr>
        <w:pStyle w:val="11"/>
        <w:spacing w:before="156" w:beforeLines="50" w:after="156" w:afterLines="50" w:line="360" w:lineRule="auto"/>
        <w:rPr>
          <w:rFonts w:hint="eastAsia" w:cs="Times New Roman" w:asciiTheme="minorEastAsia" w:hAnsiTheme="minorEastAsia" w:eastAsiaTheme="minorEastAsia"/>
          <w:snapToGrid w:val="0"/>
          <w:color w:val="000000"/>
          <w:sz w:val="28"/>
          <w:szCs w:val="28"/>
          <w:lang w:val="en-US" w:eastAsia="zh-CN" w:bidi="ar-SA"/>
        </w:rPr>
      </w:pPr>
      <w:r>
        <w:rPr>
          <w:rFonts w:hint="eastAsia" w:cs="Times New Roman" w:asciiTheme="minorEastAsia" w:hAnsiTheme="minorEastAsia" w:eastAsiaTheme="minorEastAsia"/>
          <w:snapToGrid w:val="0"/>
          <w:color w:val="000000"/>
          <w:sz w:val="28"/>
          <w:szCs w:val="28"/>
          <w:lang w:val="en-US" w:eastAsia="zh-CN" w:bidi="ar-SA"/>
        </w:rPr>
        <w:t>6、响应供应商具有由国家认证认可监督管理部门批准设立的认证机构颁发并在有效期内的ISO9001质量管理体系认证证书、ISO14001环境管理体系认证证书、ISO45001职业健康安全管理体系认证证书，且以上三项管理体系认证证书认证范围包括汽车租赁、公路旅客运输服务，须提供证书扫描件；</w:t>
      </w:r>
    </w:p>
    <w:p w14:paraId="5863F2AB">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响应供应商应按照《中华人民共和国劳动合同法》的第二十条规定发放工资，服务人员工资不得低于广州市企业职工最低工资标准（工资不含按国家规定响应供应商要支付的社会保险及其他应付费</w:t>
      </w:r>
      <w:r>
        <w:rPr>
          <w:rFonts w:hint="eastAsia" w:cs="Times New Roman" w:asciiTheme="minorEastAsia" w:hAnsiTheme="minorEastAsia" w:eastAsiaTheme="minorEastAsia"/>
          <w:sz w:val="28"/>
          <w:szCs w:val="28"/>
          <w:lang w:val="en-US" w:eastAsia="zh-CN"/>
        </w:rPr>
        <w:t>用）；</w:t>
      </w:r>
    </w:p>
    <w:p w14:paraId="1CBFF86C">
      <w:pPr>
        <w:pStyle w:val="11"/>
        <w:spacing w:before="156" w:beforeLines="50" w:after="156" w:afterLines="50" w:line="360" w:lineRule="auto"/>
        <w:rPr>
          <w:rFonts w:hint="default"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8、响应供应商应按照《中华人民共和国劳动合同法》、《社会保险法》和《住房公积金管理条例》等规定，支付国家规定要求购买的社会保险费用和缴存住房公积金；</w:t>
      </w:r>
    </w:p>
    <w:p w14:paraId="145862CA">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9、本项目不接受联合体响应；</w:t>
      </w:r>
    </w:p>
    <w:p w14:paraId="1A46945D">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10、其他相关证件及资质。</w:t>
      </w:r>
    </w:p>
    <w:p w14:paraId="1BCBCB7F">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三、服务要求</w:t>
      </w:r>
    </w:p>
    <w:p w14:paraId="367E9B5E">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1、基本要求</w:t>
      </w:r>
    </w:p>
    <w:p w14:paraId="65E8A8BA">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仿宋" w:hAnsi="仿宋" w:eastAsia="仿宋" w:cs="仿宋"/>
          <w:bCs/>
          <w:color w:val="000000"/>
          <w:sz w:val="24"/>
        </w:rPr>
        <w:t>▲</w:t>
      </w:r>
      <w:r>
        <w:rPr>
          <w:rFonts w:hint="eastAsia" w:asciiTheme="minorEastAsia" w:hAnsiTheme="minorEastAsia" w:eastAsiaTheme="minorEastAsia"/>
          <w:sz w:val="28"/>
          <w:szCs w:val="28"/>
          <w:lang w:val="en-US" w:eastAsia="zh-CN"/>
        </w:rPr>
        <w:t>①响应供应商能提供采购人需要的车辆及车型，通勤车、业务用车（一）的车辆外观颜色、喷涂标识一致。</w:t>
      </w:r>
    </w:p>
    <w:p w14:paraId="3AE9B3E7">
      <w:pPr>
        <w:pStyle w:val="11"/>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仿宋" w:hAnsi="仿宋" w:eastAsia="仿宋" w:cs="仿宋"/>
          <w:bCs/>
          <w:color w:val="000000"/>
          <w:sz w:val="24"/>
        </w:rPr>
        <w:t>▲</w:t>
      </w:r>
      <w:r>
        <w:rPr>
          <w:rFonts w:hint="eastAsia" w:asciiTheme="minorEastAsia" w:hAnsiTheme="minorEastAsia" w:eastAsiaTheme="minorEastAsia"/>
          <w:sz w:val="28"/>
          <w:szCs w:val="28"/>
          <w:lang w:val="en-US" w:eastAsia="zh-CN"/>
        </w:rPr>
        <w:t>②响应供应商应拥有高级管理人员，其具有相应专业资质和不少于三年的从业经验。（提供人员资质证明，格式自拟）</w:t>
      </w:r>
    </w:p>
    <w:p w14:paraId="07AD8ACB">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仿宋" w:hAnsi="仿宋" w:eastAsia="仿宋" w:cs="仿宋"/>
          <w:bCs/>
          <w:color w:val="000000"/>
          <w:sz w:val="24"/>
        </w:rPr>
        <w:t>▲</w:t>
      </w:r>
      <w:r>
        <w:rPr>
          <w:rFonts w:hint="eastAsia" w:asciiTheme="minorEastAsia" w:hAnsiTheme="minorEastAsia" w:eastAsiaTheme="minorEastAsia"/>
          <w:sz w:val="28"/>
          <w:szCs w:val="28"/>
          <w:lang w:val="en-US" w:eastAsia="zh-CN"/>
        </w:rPr>
        <w:t>③响应供应商应有完善的车辆管理及安全管理制度，有一支较高职业素质和驾驶技能的驾驶员队伍，能做到遵章守法，执行管理制度，自觉对车辆进行日常检查和保养工作。（提供车辆管理及安全管理制度，格式自拟）</w:t>
      </w:r>
    </w:p>
    <w:p w14:paraId="54F3E6F2">
      <w:pPr>
        <w:pStyle w:val="11"/>
        <w:spacing w:before="156" w:beforeLines="50" w:after="156" w:afterLines="50" w:line="360" w:lineRule="auto"/>
        <w:rPr>
          <w:rFonts w:hint="eastAsia"/>
          <w:lang w:val="en-US" w:eastAsia="zh-CN"/>
        </w:rPr>
      </w:pPr>
      <w:r>
        <w:rPr>
          <w:rFonts w:hint="eastAsia" w:ascii="仿宋" w:hAnsi="仿宋" w:eastAsia="仿宋" w:cs="仿宋"/>
          <w:bCs/>
          <w:color w:val="000000"/>
          <w:sz w:val="24"/>
        </w:rPr>
        <w:t>▲</w:t>
      </w:r>
      <w:r>
        <w:rPr>
          <w:rFonts w:hint="eastAsia" w:asciiTheme="minorEastAsia" w:hAnsiTheme="minorEastAsia" w:eastAsiaTheme="minorEastAsia"/>
          <w:sz w:val="28"/>
          <w:szCs w:val="28"/>
          <w:lang w:val="en-US" w:eastAsia="zh-CN"/>
        </w:rPr>
        <w:t>④响应供应商应有一套完善的人员管理体制，有优质服务精神、较高的安全意识、丰富的运营及应对路面突发事件的经验，有制定车辆出现损坏、延误发车、交通安全事故处置、突发事故处置等情况时的应急处理办法，及时调配其它车辆或采取其他应急措施确保不影响或少影响采购人的正常工作，所发生的费用由成交供应商负责。（提供应急预案及具体流程，格式自拟）</w:t>
      </w:r>
    </w:p>
    <w:p w14:paraId="2BAE7C54">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⑤响应供应商不得将业务进行二次分包，成交供应商与采购人签订合同后，要与采购人配合做好调查工作，若遇问题需征询采购人意见，确保车辆的顺利出租运营。</w:t>
      </w:r>
    </w:p>
    <w:p w14:paraId="27D11447">
      <w:pPr>
        <w:pStyle w:val="11"/>
        <w:spacing w:before="156" w:beforeLines="50" w:after="156" w:afterLines="50" w:line="360" w:lineRule="auto"/>
        <w:rPr>
          <w:rFonts w:hint="eastAsia"/>
          <w:b/>
          <w:bCs/>
          <w:lang w:val="en-US" w:eastAsia="zh-CN"/>
        </w:rPr>
      </w:pPr>
      <w:r>
        <w:rPr>
          <w:rFonts w:hint="eastAsia" w:asciiTheme="minorEastAsia" w:hAnsiTheme="minorEastAsia" w:eastAsiaTheme="minorEastAsia"/>
          <w:sz w:val="28"/>
          <w:szCs w:val="28"/>
          <w:lang w:val="en-US" w:eastAsia="zh-CN"/>
        </w:rPr>
        <w:t>★⑥响应供应商须在响应资料中按采购人车辆要求提供相关车辆证明文件（包含车辆图片和车辆登记信息），成交供应商签订合同时提供原件核查，合同签订后原则上实际提供服务的车辆必须与响应资料一致（采购人主动要求更换除外），如无法提供与响应资料一致的车辆时，成交供应商需提供相关情况说明，且更换的车辆性能及车龄须优于或等于响应文件中所投入车辆的标准，无法满足上述要求的，采购人有权要求供应商赔偿或终止合同。</w:t>
      </w:r>
    </w:p>
    <w:p w14:paraId="31A623A3">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⑦采购人根据实际租用车型、线路里程、驾驶时长及次数计算租赁费用。</w:t>
      </w:r>
    </w:p>
    <w:p w14:paraId="11CB4E7D">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⑧采购人法定节假日、休息日不需要通勤车租赁服务，如有需要另行提前通知成交供应商。合同执行期间，采购人确因业务变动（如上级有关部门限制或禁止车辆租赁、取消通勤车职工福利等），可提前30个自然日以上（包含30个自然日）通知中标人后提前解除合同，采购人不负一切责任。合同解除后，双方按实际发生的情况依合同规定结算费用。</w:t>
      </w:r>
    </w:p>
    <w:p w14:paraId="3503106E">
      <w:pPr>
        <w:pStyle w:val="11"/>
        <w:spacing w:before="156" w:beforeLines="50" w:after="156" w:afterLines="50" w:line="360" w:lineRule="auto"/>
        <w:rPr>
          <w:rFonts w:hint="eastAsia"/>
          <w:lang w:val="en-US" w:eastAsia="zh-CN"/>
        </w:rPr>
      </w:pPr>
      <w:r>
        <w:rPr>
          <w:rFonts w:hint="eastAsia" w:asciiTheme="minorEastAsia" w:hAnsiTheme="minorEastAsia" w:eastAsiaTheme="minorEastAsia"/>
          <w:sz w:val="28"/>
          <w:szCs w:val="28"/>
          <w:lang w:val="en-US" w:eastAsia="zh-CN"/>
        </w:rPr>
        <w:t>★⑨采购人每月会对成交供应商的服务态度、服务质量等情况进行客观评价打分，并填写《广东省工人医院车辆租赁服务质量月度考核表》，根据考核结果扣罚服务费。</w:t>
      </w:r>
    </w:p>
    <w:p w14:paraId="232D4BA0">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⑩如遇突发不可抗力因素，成交供应商须承诺无条件配合采购人的用车需求，因此造成成交供应商费用增加或利润损失的，由成交供应商自行承担。</w:t>
      </w:r>
    </w:p>
    <w:p w14:paraId="22609131">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★⑪响应供应商须在响应资料中提供供应商廉洁承诺书。（格式详见材料基本目录）</w:t>
      </w:r>
    </w:p>
    <w:p w14:paraId="6BF19F0B">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2、租赁要求</w:t>
      </w:r>
    </w:p>
    <w:p w14:paraId="3F0B3885">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①签订服务合同前或采购人使用车辆前，成交供应商应与采购人配合做好检查验证工作，提供的服务车辆应经采购人检验合格，确保车辆符合运营条件和采购人的要求。</w:t>
      </w:r>
    </w:p>
    <w:p w14:paraId="150367A7">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②通勤车必须严格按照采购人规定的始发时间从每个始发站点出发，途经各站点接送职工到达指定地点。采购人可根据道路情况、单位的工作需要及人员情况对发车时间、行驶路线和站点进行调整，成交供应商须无条件配合执行。</w:t>
      </w:r>
    </w:p>
    <w:p w14:paraId="330CA426">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ascii="仿宋" w:hAnsi="仿宋" w:eastAsia="仿宋" w:cs="仿宋"/>
          <w:bCs/>
          <w:color w:val="000000"/>
          <w:sz w:val="24"/>
        </w:rPr>
        <w:t>▲</w:t>
      </w:r>
      <w:r>
        <w:rPr>
          <w:rFonts w:hint="eastAsia" w:cs="Times New Roman" w:asciiTheme="minorEastAsia" w:hAnsiTheme="minorEastAsia" w:eastAsiaTheme="minorEastAsia"/>
          <w:sz w:val="28"/>
          <w:szCs w:val="28"/>
          <w:lang w:val="en-US" w:eastAsia="zh-CN"/>
        </w:rPr>
        <w:t>③如因成交供应商原因致使通勤车超过规定时间15分钟以上（包含15分钟）才到达始发站点，成交供应商仍需出车，并在每月的质量服务考核中予以扣除相应分值；超过30分钟仍未派车到达始发站点，成交供应商应就近安排职工以四人1台的标准转乘出租车，出租车按指定线路接送职工。如车辆在行驶途中出现车辆故障、交通事故等突发情况，成交供应商应安排备用车辆在1小时内到达采购人指定地点。如确实无法安排，需采购人采取其他方式通勤的，所产生的车费由成交供应商承担。</w:t>
      </w:r>
    </w:p>
    <w:p w14:paraId="6896C7CF">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ascii="仿宋" w:hAnsi="仿宋" w:eastAsia="仿宋" w:cs="仿宋"/>
          <w:bCs/>
          <w:color w:val="000000"/>
          <w:sz w:val="24"/>
        </w:rPr>
        <w:t>▲</w:t>
      </w:r>
      <w:r>
        <w:rPr>
          <w:rFonts w:hint="eastAsia" w:cs="Times New Roman" w:asciiTheme="minorEastAsia" w:hAnsiTheme="minorEastAsia" w:eastAsiaTheme="minorEastAsia"/>
          <w:sz w:val="28"/>
          <w:szCs w:val="28"/>
          <w:lang w:val="en-US" w:eastAsia="zh-CN"/>
        </w:rPr>
        <w:t>④如租赁车辆超过约定时间30分钟以上（包含30分钟）还未到达约定出发地点或车辆在行驶途中出现车辆故障、交通事故等突发情况，采购人可自行采取其他方式继续出行的，所产生的车费由成交供应商承担。因成交供应商原因致使租赁车辆超时到达出发地点的，每月的质量服务考核中还应扣除相应分值。</w:t>
      </w:r>
    </w:p>
    <w:p w14:paraId="6DBC4AFA">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ascii="仿宋" w:hAnsi="仿宋" w:eastAsia="仿宋" w:cs="仿宋"/>
          <w:bCs/>
          <w:color w:val="000000"/>
          <w:sz w:val="24"/>
        </w:rPr>
        <w:t>▲</w:t>
      </w:r>
      <w:r>
        <w:rPr>
          <w:rFonts w:hint="eastAsia" w:cs="Times New Roman" w:asciiTheme="minorEastAsia" w:hAnsiTheme="minorEastAsia" w:eastAsiaTheme="minorEastAsia"/>
          <w:sz w:val="28"/>
          <w:szCs w:val="28"/>
          <w:lang w:val="en-US" w:eastAsia="zh-CN"/>
        </w:rPr>
        <w:t>⑤成交供应商派出的人员，在服务期间需遵守采购人的相关规章制度，但其管理工作由成交供应商负责，每月需对派出人员进行最少一次道路安全教育学习，如有违反国家的法律、法令或出现交通事故或乘客损伤均由成交供应商负责，与采购人无关。</w:t>
      </w:r>
    </w:p>
    <w:p w14:paraId="292998A2">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⑥成交供应商派出人员的福利、工资、医疗、保险、用餐事项均由成交供应商与员工自行商定。采购人可提供驾驶员的院内用餐场所，费用需自行按医院饭堂物价支付。如发生劳资纠纷，由成交供应商自行解决，采购人不承担任何责任。需过夜的外出跨市任务，由采购人提供驾驶员的食宿，所产生的食宿费由采购人承担。</w:t>
      </w:r>
    </w:p>
    <w:p w14:paraId="2D6DE828">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★⑦成交供应商没有按合同规定完成任务或服务质量达不到要求，如《广东省工人医院车辆租赁服务质量月度考核表》在一个服务年度内累计三次低于80分，采购人有权终止合同。</w:t>
      </w:r>
    </w:p>
    <w:p w14:paraId="657B3760">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⑧成交供应商应安排专人负责采购人业务，提供24小时电话应急服务，及时受理采购人的业务咨询、办理、质疑、投诉及跟踪服务。</w:t>
      </w:r>
    </w:p>
    <w:p w14:paraId="2C8A1B23">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3、驾驶员要求</w:t>
      </w:r>
    </w:p>
    <w:p w14:paraId="3757D32A">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①驾驶员应为响应供应商的签约员工，持有有效期内的道路旅客运输从业资格证（资格证类别为客运），具备丰富的驾驶经验，熟悉广州市主要道路，无发生重大及以上交通责任事故记录，年龄在55周岁以下，品行端正，身体健康，无传染性疾病。通勤车及业务用车（一）的驾驶员需3年及以上A1驾龄，其余用车驾驶员需持相应客车驾驶法规要求的A1/B1/C1以上驾驶证。（需提供驾驶员的驾驶执照、客运从业资格证、劳动合同、身份证、健康证明等佐证文件）</w:t>
      </w:r>
    </w:p>
    <w:p w14:paraId="0365CF36">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ascii="仿宋" w:hAnsi="仿宋" w:eastAsia="仿宋" w:cs="仿宋"/>
          <w:bCs/>
          <w:color w:val="000000"/>
          <w:sz w:val="24"/>
        </w:rPr>
        <w:t>▲</w:t>
      </w:r>
      <w:r>
        <w:rPr>
          <w:rFonts w:hint="eastAsia" w:cs="Times New Roman" w:asciiTheme="minorEastAsia" w:hAnsiTheme="minorEastAsia" w:eastAsiaTheme="minorEastAsia"/>
          <w:sz w:val="28"/>
          <w:szCs w:val="28"/>
          <w:lang w:val="en-US" w:eastAsia="zh-CN"/>
        </w:rPr>
        <w:t>②驾驶员应遵守采购人制定的相关管理制度，服从采购人的管理，定期参加采购人的安全教育学习，做到安全、文明驾驶。若采购人对驾驶员服务质量不满意，成交供应商需按照采购人的要求更换合格的驾驶员，对于采购人已要求更换过的驾驶员，成交供应商不得再重复安排于本合同项目，成交供应商如需临时更换通勤车及业务用车（一）的驾驶员，需提前一天通知采购人且征得采购人同意后方可更换驾驶员。</w:t>
      </w:r>
    </w:p>
    <w:p w14:paraId="284658C3">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③驾驶员应做好车辆的日常检查、卫生保洁工作，不吸烟，使用礼貌用语。每次出车前、后对车辆进行检查（检查内容包括但不限于转向、制动装置、轮胎、水、电、信号灯等）是否正常。在行车时应携带驾驶执照、身份证等，保持通讯畅通，服从采购人调遣，按要求时间提前10分钟到达指定地点等候，凭乘车人员提供的工作证或者相关证明给予上车，开车前需提醒乘坐人员系好安全带、车辆行驶过程中不准离开座位走动，车辆未停稳，严禁上下车。</w:t>
      </w:r>
    </w:p>
    <w:p w14:paraId="08681320">
      <w:pPr>
        <w:pStyle w:val="11"/>
        <w:spacing w:before="156" w:beforeLines="50" w:after="156" w:afterLines="50" w:line="360" w:lineRule="auto"/>
        <w:rPr>
          <w:rFonts w:hint="default"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④驾驶员在行车时需遵守交通法规，按规定操作，不随意停车、停靠、接听电话，确保乘客和车上物品的安全。如行车途中发生交通违章（含罚款），由成交供应商负全责处理。如发生交通事故，造成人员伤亡、采购人物品的缺损或车辆损坏，由成交供应商承担所有责任并负责赔偿采购人的损失、处理事故和办理保险索赔等。</w:t>
      </w:r>
    </w:p>
    <w:p w14:paraId="257BF408">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⑤响应供应商应对驾驶员做好政审工作，签订相关保密协议，加强对驾驶员的业务能力、素质的培训工作。</w:t>
      </w:r>
    </w:p>
    <w:p w14:paraId="73EDC3C9">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4、车辆要求</w:t>
      </w:r>
    </w:p>
    <w:p w14:paraId="6090CEBC">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★①</w:t>
      </w:r>
      <w:r>
        <w:rPr>
          <w:rFonts w:hint="eastAsia" w:asciiTheme="minorEastAsia" w:hAnsiTheme="minorEastAsia" w:eastAsiaTheme="minorEastAsia"/>
          <w:sz w:val="28"/>
          <w:szCs w:val="28"/>
          <w:lang w:val="en-US" w:eastAsia="zh-CN"/>
        </w:rPr>
        <w:t>响应供应商所投入本项目的车辆必须为供应商或其所在集团自有的车辆，并且具备在广州市任何区域、任意时段合法行驶的资格。</w:t>
      </w:r>
    </w:p>
    <w:p w14:paraId="46B88847">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★②响应供应商提供的车辆应已购车船税、交强险，成交供应商在合同期内负责车辆的维修保养、税金、营运费、保险费（全保，并须购买座位险）、管理费等费用。</w:t>
      </w:r>
    </w:p>
    <w:p w14:paraId="607A4626">
      <w:pPr>
        <w:pStyle w:val="11"/>
        <w:spacing w:before="156" w:beforeLines="50" w:after="156" w:afterLines="50" w:line="360" w:lineRule="auto"/>
        <w:rPr>
          <w:rFonts w:hint="eastAsia" w:cs="Times New Roman" w:asciiTheme="minorEastAsia" w:hAnsiTheme="minorEastAsia" w:eastAsiaTheme="minorEastAsia"/>
          <w:snapToGrid w:val="0"/>
          <w:color w:val="000000"/>
          <w:sz w:val="28"/>
          <w:szCs w:val="28"/>
          <w:lang w:val="en-US" w:eastAsia="zh-CN" w:bidi="ar-SA"/>
        </w:rPr>
      </w:pPr>
      <w:r>
        <w:rPr>
          <w:rFonts w:hint="eastAsia" w:cs="Times New Roman" w:asciiTheme="minorEastAsia" w:hAnsiTheme="minorEastAsia" w:eastAsiaTheme="minorEastAsia"/>
          <w:sz w:val="28"/>
          <w:szCs w:val="28"/>
          <w:lang w:val="en-US" w:eastAsia="zh-CN"/>
        </w:rPr>
        <w:t>★③响应供应商所提供的车辆需符合国家交通管理规定，大型客车必须持有《机动车行驶证》、《市际或县际包车客运标志牌》、《道路运输经营许可证》（经营范围必须包含市际包车客运等相关内容），</w:t>
      </w:r>
      <w:r>
        <w:rPr>
          <w:rFonts w:hint="eastAsia" w:cs="Times New Roman" w:asciiTheme="minorEastAsia" w:hAnsiTheme="minorEastAsia" w:eastAsiaTheme="minorEastAsia"/>
          <w:snapToGrid w:val="0"/>
          <w:color w:val="000000"/>
          <w:sz w:val="28"/>
          <w:szCs w:val="28"/>
          <w:lang w:val="en-US" w:eastAsia="zh-CN" w:bidi="ar-SA"/>
        </w:rPr>
        <w:t>须提供证书扫描件。</w:t>
      </w:r>
    </w:p>
    <w:p w14:paraId="383C4D03">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▲④成交供应商所提供的车辆必须按《道路运输车辆动态监控管理办法》规定安装卫星定位汽车行驶记录仪。</w:t>
      </w:r>
    </w:p>
    <w:p w14:paraId="541E46B1">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▲⑤响应供应商所提供的车辆使用时限为距提交响应资料截止日4年以内（包含4年），通勤车及业务用车（一）为3年以内（包含3年），以机动车登记证书所登记的日期起算日期，须提供机动车登记证书扫描件。</w:t>
      </w:r>
    </w:p>
    <w:p w14:paraId="476F5DEE">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⑥响应供应商应保证采购人租赁使用车辆的正常保养、修理及磨损零配件的更换。车辆每行驶5000～10000公里需进行保养维修一次，轮胎每正常行驶50000公里更换一次，不得使用翻新胎，所产生的费用由成交供应商承担。</w:t>
      </w:r>
    </w:p>
    <w:p w14:paraId="11DBD46B">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⑦响应供应商所提供的车辆需符合国家规定的安全、环保等要求，座椅、空调功能正常无故障，安全性能良好，需要配置合格的安全带、安全锤和灭火器材等安全装置。鼓励支持响应供应商提供技术性能良好、车内环境干净整洁无异味、车辆空调有制冷制暖功能、车辆车况和运营资质符合国家检验标准、属于环境标志产品的新能源汽车。</w:t>
      </w:r>
    </w:p>
    <w:p w14:paraId="3CE45599">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⑧成交供应商所提供的车辆在使用期间未经采购人审核同意，不得擅自变更。如确因维修保养、年审、接受定期检审及其它经采购人认可的合理因素而必须暂停运行时，成交供应商需提前知会采购人，并及时调派同等条件、车况或以上的车辆临时代用，代用车辆需要经采购人检查验证，检验合格后方可正常投入使用。</w:t>
      </w:r>
    </w:p>
    <w:p w14:paraId="1EBB229E">
      <w:pPr>
        <w:pStyle w:val="11"/>
        <w:spacing w:before="156" w:beforeLines="50" w:after="156" w:afterLines="50" w:line="360" w:lineRule="auto"/>
        <w:rPr>
          <w:rFonts w:hint="eastAsia" w:cs="Times New Roman" w:asciiTheme="minorEastAsia" w:hAnsiTheme="minorEastAsia" w:eastAsiaTheme="minorEastAsia"/>
          <w:snapToGrid w:val="0"/>
          <w:color w:val="000000"/>
          <w:sz w:val="28"/>
          <w:szCs w:val="28"/>
          <w:lang w:val="en-US" w:eastAsia="zh-CN" w:bidi="ar-SA"/>
        </w:rPr>
      </w:pPr>
      <w:r>
        <w:rPr>
          <w:rFonts w:hint="eastAsia" w:cs="Times New Roman" w:asciiTheme="minorEastAsia" w:hAnsiTheme="minorEastAsia" w:eastAsiaTheme="minorEastAsia"/>
          <w:sz w:val="28"/>
          <w:szCs w:val="28"/>
          <w:lang w:val="en-US" w:eastAsia="zh-CN"/>
        </w:rPr>
        <w:t>⑨车辆车容要求“三洁”——车头清洁、车身光洁、车厢和座位干净整洁，车内无异味（含“新车味”）、无垃圾、无蟑螂昆虫。</w:t>
      </w:r>
    </w:p>
    <w:p w14:paraId="76C9B093">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⑩响应供应商应保证所有营运车辆的车质、车况和准时出车，确保车辆正常营运。</w:t>
      </w:r>
    </w:p>
    <w:p w14:paraId="3E93BD9D">
      <w:pPr>
        <w:pStyle w:val="11"/>
        <w:spacing w:before="156" w:beforeLines="50" w:after="156" w:afterLines="50" w:line="360" w:lineRule="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★5、保险要求</w:t>
      </w:r>
    </w:p>
    <w:p w14:paraId="6DFA7E1B">
      <w:pPr>
        <w:pStyle w:val="11"/>
        <w:spacing w:before="156" w:beforeLines="50" w:after="156" w:afterLines="50" w:line="360" w:lineRule="auto"/>
        <w:ind w:firstLine="560" w:firstLineChars="200"/>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响应供应商需承诺中标后所有提供的车辆都投保车辆基本险，包含机动车交通事故责任强制保险、第三者责任险（合同签订后租赁车辆要求投保保额不低于人民币200万元）、车上人员责任险（全部车上座位投保每车每次每座位赔偿限额不少于人民币80万元的乘客意外事故险），以及都投保车辆不计免赔险，包含基本险不计免赔和附加险不计免赔，需出具承诺函。</w:t>
      </w:r>
    </w:p>
    <w:p w14:paraId="2794D265">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四、采购人信息</w:t>
      </w:r>
    </w:p>
    <w:p w14:paraId="01A66074">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采购人：广东省工人医院</w:t>
      </w:r>
    </w:p>
    <w:p w14:paraId="469A503F">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地址：广州市黄埔区长洲街长江路320号</w:t>
      </w:r>
    </w:p>
    <w:p w14:paraId="1FDEC7D7">
      <w:pPr>
        <w:rPr>
          <w:rFonts w:hint="default"/>
          <w:lang w:val="en-US" w:eastAsia="zh-CN"/>
        </w:rPr>
      </w:pPr>
      <w:r>
        <w:rPr>
          <w:rFonts w:hint="eastAsia" w:asciiTheme="minorEastAsia" w:hAnsiTheme="minorEastAsia" w:eastAsiaTheme="minorEastAsia"/>
          <w:sz w:val="28"/>
          <w:szCs w:val="28"/>
          <w:lang w:val="en-US" w:eastAsia="zh-CN"/>
        </w:rPr>
        <w:t>联系人：凌老师、曹老师、李老师</w:t>
      </w:r>
    </w:p>
    <w:p w14:paraId="00980F2B">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联系电话：020-82352522、15360873625、18122700573、13415014849</w:t>
      </w:r>
      <w:bookmarkStart w:id="16" w:name="_GoBack"/>
      <w:bookmarkEnd w:id="16"/>
    </w:p>
    <w:p w14:paraId="5CFC2650">
      <w:pPr>
        <w:pStyle w:val="11"/>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邮箱：gdsgryyzbb@163.com</w:t>
      </w:r>
    </w:p>
    <w:p w14:paraId="67444643">
      <w:pPr>
        <w:pStyle w:val="11"/>
        <w:spacing w:before="156" w:beforeLines="50" w:after="156" w:afterLines="50" w:line="360" w:lineRule="auto"/>
        <w:rPr>
          <w:rFonts w:hint="eastAsia" w:asciiTheme="minorEastAsia" w:hAnsiTheme="minorEastAsia" w:eastAsiaTheme="minorEastAsia"/>
          <w:sz w:val="28"/>
          <w:szCs w:val="28"/>
        </w:rPr>
        <w:sectPr>
          <w:pgSz w:w="11906" w:h="16838"/>
          <w:pgMar w:top="1440" w:right="1803" w:bottom="1440" w:left="1803" w:header="0" w:footer="907" w:gutter="0"/>
          <w:pgNumType w:start="1"/>
          <w:cols w:space="720" w:num="1"/>
          <w:docGrid w:type="lines" w:linePitch="312" w:charSpace="0"/>
        </w:sectPr>
      </w:pPr>
    </w:p>
    <w:sdt>
      <w:sdtPr>
        <w:rPr>
          <w:rFonts w:hint="eastAsia" w:cs="Times New Roman" w:asciiTheme="minorEastAsia" w:hAnsiTheme="minorEastAsia" w:eastAsiaTheme="minorEastAsia"/>
          <w:snapToGrid w:val="0"/>
          <w:color w:val="000000"/>
          <w:sz w:val="28"/>
          <w:szCs w:val="28"/>
          <w:lang w:val="en-US" w:eastAsia="zh-CN" w:bidi="ar-SA"/>
        </w:rPr>
        <w:id w:val="147473608"/>
        <w15:color w:val="DBDBDB"/>
        <w:docPartObj>
          <w:docPartGallery w:val="Table of Contents"/>
          <w:docPartUnique/>
        </w:docPartObj>
      </w:sdtPr>
      <w:sdtEndPr>
        <w:rPr>
          <w:rFonts w:hint="eastAsia" w:cs="宋体" w:asciiTheme="minorEastAsia" w:hAnsiTheme="minorEastAsia" w:eastAsiaTheme="minorEastAsia"/>
          <w:b/>
          <w:bCs/>
          <w:snapToGrid w:val="0"/>
          <w:color w:val="000000"/>
          <w:spacing w:val="10"/>
          <w:sz w:val="28"/>
          <w:szCs w:val="27"/>
          <w:lang w:val="en-US" w:eastAsia="zh-CN" w:bidi="ar-SA"/>
        </w:rPr>
      </w:sdtEndPr>
      <w:sdtContent>
        <w:p w14:paraId="5EC5B073">
          <w:pPr>
            <w:jc w:val="left"/>
            <w:rPr>
              <w:rFonts w:hint="default" w:cs="Times New Roman" w:asciiTheme="minorEastAsia" w:hAnsiTheme="minorEastAsia" w:eastAsiaTheme="minorEastAsia"/>
              <w:snapToGrid w:val="0"/>
              <w:color w:val="000000"/>
              <w:sz w:val="28"/>
              <w:szCs w:val="28"/>
              <w:lang w:val="en-US" w:eastAsia="zh-CN" w:bidi="ar-SA"/>
            </w:rPr>
          </w:pPr>
          <w:bookmarkStart w:id="3" w:name="_Toc133103939"/>
          <w:r>
            <w:rPr>
              <w:rFonts w:hint="eastAsia" w:cs="Times New Roman" w:asciiTheme="minorEastAsia" w:hAnsiTheme="minorEastAsia" w:eastAsiaTheme="minorEastAsia"/>
              <w:snapToGrid w:val="0"/>
              <w:color w:val="000000"/>
              <w:sz w:val="28"/>
              <w:szCs w:val="28"/>
              <w:lang w:val="en-US" w:eastAsia="zh-CN" w:bidi="ar-SA"/>
            </w:rPr>
            <w:t>五、材料基本目录</w:t>
          </w:r>
        </w:p>
        <w:p w14:paraId="68CC79DD">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14:paraId="015A8FB8">
          <w:pPr>
            <w:pStyle w:val="11"/>
            <w:rPr>
              <w:rFonts w:eastAsia="宋体"/>
              <w:b w:val="0"/>
              <w:smallCaps w:val="0"/>
              <w:sz w:val="28"/>
            </w:rPr>
          </w:pPr>
        </w:p>
        <w:p w14:paraId="5C0834B9">
          <w:pPr>
            <w:pStyle w:val="11"/>
            <w:tabs>
              <w:tab w:val="right" w:leader="dot" w:pos="8304"/>
            </w:tabs>
            <w:rPr>
              <w:rFonts w:hint="eastAsia" w:ascii="仿宋" w:hAnsi="仿宋" w:eastAsia="仿宋" w:cs="仿宋"/>
              <w:sz w:val="28"/>
              <w:szCs w:val="28"/>
            </w:rPr>
          </w:pPr>
          <w:r>
            <w:rPr>
              <w:rFonts w:hint="eastAsia" w:ascii="仿宋" w:hAnsi="仿宋" w:eastAsia="仿宋" w:cs="仿宋"/>
              <w:b w:val="0"/>
              <w:bCs/>
              <w:smallCaps w:val="0"/>
              <w:spacing w:val="10"/>
              <w:sz w:val="28"/>
              <w:szCs w:val="28"/>
            </w:rPr>
            <w:fldChar w:fldCharType="begin"/>
          </w:r>
          <w:r>
            <w:rPr>
              <w:rFonts w:hint="eastAsia" w:ascii="仿宋" w:hAnsi="仿宋" w:eastAsia="仿宋" w:cs="仿宋"/>
              <w:b w:val="0"/>
              <w:bCs/>
              <w:smallCaps w:val="0"/>
              <w:spacing w:val="10"/>
              <w:sz w:val="28"/>
              <w:szCs w:val="28"/>
            </w:rPr>
            <w:instrText xml:space="preserve">TOC \o "1-2" \h \u </w:instrText>
          </w:r>
          <w:r>
            <w:rPr>
              <w:rFonts w:hint="eastAsia" w:ascii="仿宋" w:hAnsi="仿宋" w:eastAsia="仿宋" w:cs="仿宋"/>
              <w:b w:val="0"/>
              <w:bCs/>
              <w:smallCaps w:val="0"/>
              <w:spacing w:val="10"/>
              <w:sz w:val="28"/>
              <w:szCs w:val="28"/>
            </w:rPr>
            <w:fldChar w:fldCharType="separate"/>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_Toc4891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 xml:space="preserve">一、 </w:t>
          </w:r>
          <w:r>
            <w:rPr>
              <w:rFonts w:hint="eastAsia" w:ascii="仿宋" w:hAnsi="仿宋" w:eastAsia="仿宋" w:cs="仿宋"/>
              <w:sz w:val="28"/>
              <w:szCs w:val="28"/>
            </w:rPr>
            <w:t>营业执照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相关资质证书及承诺函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_Toc4891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2074206E">
          <w:pPr>
            <w:pStyle w:val="11"/>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_Toc4575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二、 </w:t>
          </w:r>
          <w:r>
            <w:rPr>
              <w:rFonts w:hint="eastAsia" w:ascii="仿宋" w:hAnsi="仿宋" w:eastAsia="仿宋" w:cs="仿宋"/>
              <w:sz w:val="28"/>
              <w:szCs w:val="28"/>
              <w:lang w:val="en-US" w:eastAsia="zh-CN"/>
            </w:rPr>
            <w:t>报价表（加盖公章）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_Toc4575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4CA704A7">
          <w:pPr>
            <w:pStyle w:val="11"/>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_Toc25000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三、 服务团队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_Toc25000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05A5F07D">
          <w:pPr>
            <w:pStyle w:val="11"/>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_Toc20737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四、 客运能力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_Toc20737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120DBD01">
          <w:pPr>
            <w:pStyle w:val="11"/>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_Toc24075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五、 项目服务方案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_Toc24075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01C7314E">
          <w:pPr>
            <w:pStyle w:val="11"/>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_Toc33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六、 近三年同类项目业绩（后附成交合同附件关键页）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787CC830">
          <w:pPr>
            <w:pStyle w:val="11"/>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_Toc28401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七、 </w:t>
          </w:r>
          <w:r>
            <w:rPr>
              <w:rFonts w:hint="eastAsia" w:ascii="仿宋" w:hAnsi="仿宋" w:eastAsia="仿宋" w:cs="仿宋"/>
              <w:sz w:val="28"/>
              <w:szCs w:val="28"/>
              <w:lang w:val="en-US" w:eastAsia="zh-CN"/>
            </w:rPr>
            <w:t>廉洁承诺书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_Toc28401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36820366">
          <w:pPr>
            <w:pStyle w:val="11"/>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_Toc20793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八、 </w:t>
          </w:r>
          <w:r>
            <w:rPr>
              <w:rFonts w:hint="eastAsia" w:ascii="仿宋" w:hAnsi="仿宋" w:eastAsia="仿宋" w:cs="仿宋"/>
              <w:sz w:val="28"/>
              <w:szCs w:val="28"/>
              <w:lang w:val="en-US" w:eastAsia="zh-CN"/>
            </w:rPr>
            <w:t>合同格式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_Toc20793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2D8FE31F">
          <w:pPr>
            <w:spacing w:before="54" w:line="360" w:lineRule="auto"/>
            <w:rPr>
              <w:rFonts w:cs="宋体" w:asciiTheme="minorEastAsia" w:hAnsiTheme="minorEastAsia" w:eastAsiaTheme="minorEastAsia"/>
              <w:b/>
              <w:bCs/>
              <w:spacing w:val="10"/>
              <w:sz w:val="27"/>
              <w:szCs w:val="27"/>
            </w:rPr>
            <w:sectPr>
              <w:footerReference r:id="rId4" w:type="default"/>
              <w:pgSz w:w="11910" w:h="16840"/>
              <w:pgMar w:top="1361" w:right="1803" w:bottom="1440" w:left="1803" w:header="0" w:footer="680" w:gutter="0"/>
              <w:pgNumType w:start="1"/>
              <w:cols w:space="720" w:num="1"/>
            </w:sectPr>
          </w:pPr>
          <w:r>
            <w:rPr>
              <w:rFonts w:hint="eastAsia" w:ascii="仿宋" w:hAnsi="仿宋" w:eastAsia="仿宋" w:cs="仿宋"/>
              <w:bCs/>
              <w:smallCaps w:val="0"/>
              <w:spacing w:val="10"/>
              <w:sz w:val="28"/>
              <w:szCs w:val="28"/>
            </w:rPr>
            <w:fldChar w:fldCharType="end"/>
          </w:r>
        </w:p>
      </w:sdtContent>
    </w:sdt>
    <w:p w14:paraId="5EF74C49">
      <w:pPr>
        <w:pStyle w:val="3"/>
        <w:bidi w:val="0"/>
        <w:rPr>
          <w:rFonts w:hint="eastAsia"/>
          <w:lang w:val="en-US" w:eastAsia="zh-CN"/>
        </w:rPr>
      </w:pPr>
      <w:bookmarkStart w:id="4" w:name="_Toc4891"/>
      <w:r>
        <w:rPr>
          <w:rFonts w:hint="eastAsia"/>
        </w:rPr>
        <w:t>营业执照</w:t>
      </w:r>
      <w:bookmarkEnd w:id="3"/>
      <w:r>
        <w:rPr>
          <w:rFonts w:hint="eastAsia"/>
          <w:lang w:eastAsia="zh-CN"/>
        </w:rPr>
        <w:t>、</w:t>
      </w:r>
      <w:r>
        <w:rPr>
          <w:rFonts w:hint="eastAsia"/>
          <w:lang w:val="en-US" w:eastAsia="zh-CN"/>
        </w:rPr>
        <w:t>相关资质证书及承诺函</w:t>
      </w:r>
      <w:bookmarkEnd w:id="4"/>
    </w:p>
    <w:p w14:paraId="3271312F">
      <w:pPr>
        <w:pStyle w:val="11"/>
        <w:numPr>
          <w:ilvl w:val="0"/>
          <w:numId w:val="3"/>
        </w:numPr>
        <w:spacing w:line="360" w:lineRule="auto"/>
        <w:rPr>
          <w:rFonts w:hint="eastAsia" w:eastAsia="宋体" w:cs="宋体" w:asciiTheme="minorEastAsia" w:hAnsiTheme="minorEastAsia"/>
          <w:b w:val="0"/>
          <w:bCs/>
          <w:smallCaps w:val="0"/>
          <w:spacing w:val="10"/>
          <w:sz w:val="28"/>
          <w:szCs w:val="28"/>
        </w:rPr>
      </w:pPr>
      <w:r>
        <w:rPr>
          <w:rFonts w:hint="default"/>
          <w:sz w:val="28"/>
          <w:szCs w:val="28"/>
          <w:lang w:val="en-US" w:eastAsia="zh-CN"/>
        </w:rPr>
        <w:t>营业执照</w:t>
      </w:r>
      <w:r>
        <w:rPr>
          <w:rFonts w:hint="eastAsia" w:eastAsia="宋体" w:cs="宋体" w:asciiTheme="minorEastAsia" w:hAnsiTheme="minorEastAsia"/>
          <w:b w:val="0"/>
          <w:bCs/>
          <w:smallCaps w:val="0"/>
          <w:spacing w:val="10"/>
          <w:sz w:val="28"/>
          <w:szCs w:val="28"/>
        </w:rPr>
        <w:t>复印件（加盖供应商单位公章）</w:t>
      </w:r>
    </w:p>
    <w:p w14:paraId="43D6C80B">
      <w:pPr>
        <w:pStyle w:val="11"/>
        <w:numPr>
          <w:ilvl w:val="0"/>
          <w:numId w:val="3"/>
        </w:numPr>
        <w:spacing w:line="360" w:lineRule="auto"/>
        <w:ind w:left="0" w:leftChars="0" w:firstLine="0" w:firstLineChars="0"/>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Theme="minorEastAsia" w:hAnsiTheme="minorEastAsia" w:eastAsiaTheme="minorEastAsia" w:cstheme="minorEastAsia"/>
          <w:snapToGrid w:val="0"/>
          <w:color w:val="000000"/>
          <w:spacing w:val="-11"/>
          <w:sz w:val="28"/>
          <w:szCs w:val="28"/>
          <w:lang w:val="en-US" w:eastAsia="zh-CN" w:bidi="ar-SA"/>
        </w:rPr>
        <w:t>企业相关资质认证证书（附证书复印件，</w:t>
      </w:r>
      <w:r>
        <w:rPr>
          <w:rFonts w:hint="eastAsia" w:eastAsia="宋体" w:cs="宋体" w:asciiTheme="minorEastAsia" w:hAnsiTheme="minorEastAsia"/>
          <w:b w:val="0"/>
          <w:bCs/>
          <w:smallCaps w:val="0"/>
          <w:spacing w:val="10"/>
          <w:sz w:val="28"/>
          <w:szCs w:val="28"/>
        </w:rPr>
        <w:t>加盖供应商单位公章</w:t>
      </w:r>
      <w:r>
        <w:rPr>
          <w:rFonts w:hint="eastAsia" w:asciiTheme="minorEastAsia" w:hAnsiTheme="minorEastAsia" w:eastAsiaTheme="minorEastAsia" w:cstheme="minorEastAsia"/>
          <w:snapToGrid w:val="0"/>
          <w:color w:val="000000"/>
          <w:spacing w:val="-11"/>
          <w:sz w:val="28"/>
          <w:szCs w:val="28"/>
          <w:lang w:val="en-US" w:eastAsia="zh-CN" w:bidi="ar-SA"/>
        </w:rPr>
        <w:t>）</w:t>
      </w:r>
    </w:p>
    <w:tbl>
      <w:tblPr>
        <w:tblStyle w:val="15"/>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489D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8EA16C7">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72AAF7B7">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4BC4D4CA">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38A052BB">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1D0C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5289495">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084461E">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AF6C83E">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1464F115">
            <w:pPr>
              <w:widowControl w:val="0"/>
              <w:jc w:val="center"/>
              <w:rPr>
                <w:rFonts w:hint="eastAsia" w:ascii="仿宋" w:hAnsi="仿宋" w:eastAsia="仿宋" w:cs="仿宋"/>
                <w:sz w:val="24"/>
                <w:szCs w:val="24"/>
                <w:vertAlign w:val="baseline"/>
                <w:lang w:val="en-US" w:eastAsia="zh-CN"/>
              </w:rPr>
            </w:pPr>
          </w:p>
        </w:tc>
      </w:tr>
      <w:tr w14:paraId="5C94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8235DD1">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5D084BEB">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539F7D04">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056D4EAA">
            <w:pPr>
              <w:widowControl w:val="0"/>
              <w:jc w:val="center"/>
              <w:rPr>
                <w:rFonts w:hint="eastAsia" w:ascii="仿宋" w:hAnsi="仿宋" w:eastAsia="仿宋" w:cs="仿宋"/>
                <w:sz w:val="24"/>
                <w:szCs w:val="24"/>
                <w:vertAlign w:val="baseline"/>
                <w:lang w:val="en-US" w:eastAsia="zh-CN"/>
              </w:rPr>
            </w:pPr>
          </w:p>
        </w:tc>
      </w:tr>
      <w:tr w14:paraId="5BFD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751A7888">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C488CB0">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0CE438CD">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7DA7EDA7">
            <w:pPr>
              <w:widowControl w:val="0"/>
              <w:jc w:val="center"/>
              <w:rPr>
                <w:rFonts w:hint="eastAsia" w:ascii="仿宋" w:hAnsi="仿宋" w:eastAsia="仿宋" w:cs="仿宋"/>
                <w:sz w:val="24"/>
                <w:szCs w:val="24"/>
                <w:vertAlign w:val="baseline"/>
                <w:lang w:val="en-US" w:eastAsia="zh-CN"/>
              </w:rPr>
            </w:pPr>
          </w:p>
        </w:tc>
      </w:tr>
      <w:tr w14:paraId="4AE8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AC89D0E">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40B1647">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191588CC">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76ACB593">
            <w:pPr>
              <w:widowControl w:val="0"/>
              <w:jc w:val="center"/>
              <w:rPr>
                <w:rFonts w:hint="eastAsia" w:ascii="仿宋" w:hAnsi="仿宋" w:eastAsia="仿宋" w:cs="仿宋"/>
                <w:sz w:val="24"/>
                <w:szCs w:val="24"/>
                <w:vertAlign w:val="baseline"/>
                <w:lang w:val="en-US" w:eastAsia="zh-CN"/>
              </w:rPr>
            </w:pPr>
          </w:p>
        </w:tc>
      </w:tr>
      <w:tr w14:paraId="5D65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DEC0972">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41EB35A3">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244F715">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34AE0FBD">
            <w:pPr>
              <w:widowControl w:val="0"/>
              <w:jc w:val="center"/>
              <w:rPr>
                <w:rFonts w:hint="eastAsia" w:ascii="仿宋" w:hAnsi="仿宋" w:eastAsia="仿宋" w:cs="仿宋"/>
                <w:sz w:val="24"/>
                <w:szCs w:val="24"/>
                <w:vertAlign w:val="baseline"/>
                <w:lang w:val="en-US" w:eastAsia="zh-CN"/>
              </w:rPr>
            </w:pPr>
          </w:p>
        </w:tc>
      </w:tr>
      <w:tr w14:paraId="3396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94CC7DF">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6348DA2A">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77C6EE4D">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D1954EA">
            <w:pPr>
              <w:widowControl w:val="0"/>
              <w:jc w:val="center"/>
              <w:rPr>
                <w:rFonts w:hint="eastAsia" w:ascii="仿宋" w:hAnsi="仿宋" w:eastAsia="仿宋" w:cs="仿宋"/>
                <w:sz w:val="24"/>
                <w:szCs w:val="24"/>
                <w:vertAlign w:val="baseline"/>
                <w:lang w:val="en-US" w:eastAsia="zh-CN"/>
              </w:rPr>
            </w:pPr>
          </w:p>
        </w:tc>
      </w:tr>
    </w:tbl>
    <w:p w14:paraId="1FF06161">
      <w:pPr>
        <w:pStyle w:val="11"/>
        <w:numPr>
          <w:ilvl w:val="0"/>
          <w:numId w:val="3"/>
        </w:numPr>
        <w:spacing w:line="360" w:lineRule="auto"/>
        <w:rPr>
          <w:rFonts w:hint="default"/>
          <w:sz w:val="28"/>
          <w:szCs w:val="28"/>
          <w:lang w:val="en-US" w:eastAsia="zh-CN"/>
        </w:rPr>
      </w:pPr>
      <w:r>
        <w:rPr>
          <w:rFonts w:hint="eastAsia"/>
          <w:sz w:val="28"/>
          <w:szCs w:val="28"/>
          <w:lang w:val="en-US" w:eastAsia="zh-CN"/>
        </w:rPr>
        <w:t>承诺函（</w:t>
      </w:r>
      <w:r>
        <w:rPr>
          <w:rFonts w:hint="eastAsia" w:eastAsia="宋体" w:cs="宋体" w:asciiTheme="minorEastAsia" w:hAnsiTheme="minorEastAsia"/>
          <w:b w:val="0"/>
          <w:bCs/>
          <w:smallCaps w:val="0"/>
          <w:spacing w:val="10"/>
          <w:sz w:val="28"/>
          <w:szCs w:val="28"/>
        </w:rPr>
        <w:t>加盖供应商单位公章</w:t>
      </w:r>
      <w:r>
        <w:rPr>
          <w:rFonts w:hint="eastAsia" w:cs="宋体" w:asciiTheme="minorEastAsia" w:hAnsiTheme="minorEastAsia"/>
          <w:b w:val="0"/>
          <w:bCs/>
          <w:smallCaps w:val="0"/>
          <w:spacing w:val="10"/>
          <w:sz w:val="28"/>
          <w:szCs w:val="28"/>
          <w:lang w:eastAsia="zh-CN"/>
        </w:rPr>
        <w:t>）</w:t>
      </w:r>
    </w:p>
    <w:p w14:paraId="1EF5A9EA">
      <w:pPr>
        <w:bidi w:val="0"/>
        <w:rPr>
          <w:rFonts w:hint="eastAsia"/>
          <w:lang w:val="en-US" w:eastAsia="zh-CN"/>
        </w:rPr>
      </w:pPr>
    </w:p>
    <w:p w14:paraId="155DFD0D">
      <w:pPr>
        <w:bidi w:val="0"/>
        <w:rPr>
          <w:rFonts w:hint="eastAsia"/>
          <w:lang w:val="en-US" w:eastAsia="zh-CN"/>
        </w:rPr>
      </w:pPr>
    </w:p>
    <w:p w14:paraId="63B5531A">
      <w:pPr>
        <w:bidi w:val="0"/>
        <w:rPr>
          <w:rFonts w:hint="eastAsia"/>
          <w:lang w:val="en-US" w:eastAsia="zh-CN"/>
        </w:rPr>
      </w:pPr>
    </w:p>
    <w:p w14:paraId="586CFA98">
      <w:pPr>
        <w:rPr>
          <w:rFonts w:hint="eastAsia"/>
          <w:lang w:val="en-US" w:eastAsia="zh-CN"/>
        </w:rPr>
      </w:pPr>
      <w:r>
        <w:rPr>
          <w:rFonts w:hint="eastAsia"/>
          <w:lang w:val="en-US" w:eastAsia="zh-CN"/>
        </w:rPr>
        <w:br w:type="page"/>
      </w:r>
    </w:p>
    <w:p w14:paraId="2A85EB80">
      <w:pPr>
        <w:pStyle w:val="3"/>
        <w:bidi w:val="0"/>
      </w:pPr>
      <w:bookmarkStart w:id="5" w:name="_Toc4575"/>
      <w:r>
        <w:rPr>
          <w:rFonts w:hint="eastAsia"/>
          <w:lang w:val="en-US" w:eastAsia="zh-CN"/>
        </w:rPr>
        <w:t>报价表（加盖公章）</w:t>
      </w:r>
      <w:bookmarkEnd w:id="5"/>
    </w:p>
    <w:p w14:paraId="16DFCA19">
      <w:pPr>
        <w:widowControl/>
        <w:kinsoku w:val="0"/>
        <w:autoSpaceDE w:val="0"/>
        <w:autoSpaceDN w:val="0"/>
        <w:adjustRightInd w:val="0"/>
        <w:snapToGrid w:val="0"/>
        <w:spacing w:before="198" w:line="360" w:lineRule="auto"/>
        <w:jc w:val="center"/>
        <w:textAlignment w:val="baseline"/>
        <w:rPr>
          <w:rFonts w:hint="eastAsia" w:ascii="仿宋" w:hAnsi="仿宋" w:eastAsia="仿宋" w:cs="仿宋"/>
          <w:snapToGrid/>
          <w:kern w:val="2"/>
          <w:sz w:val="22"/>
          <w:szCs w:val="21"/>
        </w:rPr>
      </w:pPr>
      <w:r>
        <w:rPr>
          <w:rFonts w:hint="eastAsia" w:ascii="仿宋" w:hAnsi="仿宋" w:eastAsia="仿宋" w:cs="仿宋"/>
          <w:b/>
          <w:bCs/>
          <w:snapToGrid w:val="0"/>
          <w:color w:val="000000"/>
          <w:spacing w:val="-18"/>
          <w:kern w:val="0"/>
          <w:sz w:val="32"/>
          <w:szCs w:val="32"/>
        </w:rPr>
        <w:t>报价一览表</w:t>
      </w:r>
    </w:p>
    <w:tbl>
      <w:tblPr>
        <w:tblStyle w:val="14"/>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699"/>
        <w:gridCol w:w="1916"/>
        <w:gridCol w:w="1969"/>
        <w:gridCol w:w="2494"/>
      </w:tblGrid>
      <w:tr w14:paraId="416E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5C3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6997">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租赁项目</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CA1E">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里程内（100公里及以下）收费标准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38F1">
            <w:pPr>
              <w:keepNext w:val="0"/>
              <w:keepLines w:val="0"/>
              <w:widowControl/>
              <w:suppressLineNumbers w:val="0"/>
              <w:jc w:val="left"/>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超里程（超100公里部分）收费标准</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488D">
            <w:pPr>
              <w:keepNext w:val="0"/>
              <w:keepLines w:val="0"/>
              <w:widowControl/>
              <w:suppressLineNumbers w:val="0"/>
              <w:jc w:val="left"/>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超时（每天驾驶员实际工作超8小时部分）收费标准</w:t>
            </w:r>
          </w:p>
        </w:tc>
      </w:tr>
      <w:tr w14:paraId="66BC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5D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52CB">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40座以上大型客车服务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A2B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snapToGrid w:val="0"/>
                <w:color w:val="000000"/>
                <w:kern w:val="0"/>
                <w:sz w:val="28"/>
                <w:szCs w:val="28"/>
                <w:u w:val="none"/>
                <w:lang w:val="en-US" w:eastAsia="zh-CN" w:bidi="ar"/>
              </w:rPr>
              <w:t>限价800元/日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6D3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限价4元/公里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97E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限价90元/小时</w:t>
            </w:r>
          </w:p>
        </w:tc>
      </w:tr>
      <w:tr w14:paraId="47F7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4B2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B889">
            <w:pPr>
              <w:keepNext w:val="0"/>
              <w:keepLines w:val="0"/>
              <w:widowControl/>
              <w:suppressLineNumbers w:val="0"/>
              <w:jc w:val="left"/>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26-39座大型客车服务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A7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限价750元/日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5E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限价2.5元/公里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63F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限价80元/小时</w:t>
            </w:r>
          </w:p>
        </w:tc>
      </w:tr>
      <w:tr w14:paraId="0241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BE14">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3</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160D">
            <w:pPr>
              <w:keepNext w:val="0"/>
              <w:keepLines w:val="0"/>
              <w:widowControl/>
              <w:suppressLineNumbers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10-25座中型客车服务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8783">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限价700元/日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A692">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限价2元/公里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C76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限价75元/小时</w:t>
            </w:r>
          </w:p>
        </w:tc>
      </w:tr>
      <w:tr w14:paraId="746A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4E53">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4</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C2F">
            <w:pPr>
              <w:keepNext w:val="0"/>
              <w:keepLines w:val="0"/>
              <w:widowControl/>
              <w:suppressLineNumbers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6-9座小微型客车服务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7115">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限价500元/日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950C">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限价1.5元/公里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069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限价40元/小时</w:t>
            </w:r>
          </w:p>
        </w:tc>
      </w:tr>
      <w:tr w14:paraId="7998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3ED7">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F0A1">
            <w:pPr>
              <w:keepNext w:val="0"/>
              <w:keepLines w:val="0"/>
              <w:widowControl/>
              <w:suppressLineNumbers w:val="0"/>
              <w:jc w:val="left"/>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5座及以下小微型客车服务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E7FD">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限价350元/日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448E">
            <w:pPr>
              <w:keepNext w:val="0"/>
              <w:keepLines w:val="0"/>
              <w:widowControl/>
              <w:suppressLineNumbers w:val="0"/>
              <w:jc w:val="center"/>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限价1.5元/公里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007D">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限价40元/小时</w:t>
            </w:r>
          </w:p>
        </w:tc>
      </w:tr>
      <w:tr w14:paraId="0FAAA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A540">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6</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2D19">
            <w:pPr>
              <w:keepNext w:val="0"/>
              <w:keepLines w:val="0"/>
              <w:widowControl/>
              <w:suppressLineNumbers w:val="0"/>
              <w:jc w:val="left"/>
              <w:textAlignment w:val="center"/>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驾驶员服务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059C">
            <w:pPr>
              <w:keepNext w:val="0"/>
              <w:keepLines w:val="0"/>
              <w:widowControl/>
              <w:suppressLineNumbers w:val="0"/>
              <w:jc w:val="center"/>
              <w:textAlignment w:val="center"/>
              <w:rPr>
                <w:rFonts w:hint="default"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限价300元/</w:t>
            </w:r>
            <w:r>
              <w:rPr>
                <w:rFonts w:hint="eastAsia" w:ascii="宋体" w:hAnsi="宋体" w:eastAsia="宋体" w:cs="宋体"/>
                <w:i w:val="0"/>
                <w:iCs w:val="0"/>
                <w:snapToGrid w:val="0"/>
                <w:color w:val="000000"/>
                <w:kern w:val="0"/>
                <w:sz w:val="28"/>
                <w:szCs w:val="28"/>
                <w:u w:val="none"/>
                <w:lang w:val="en-US" w:eastAsia="zh-CN" w:bidi="ar"/>
              </w:rPr>
              <w:t>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8B82">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限价1元/公里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BC57">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限价40元/小时</w:t>
            </w:r>
          </w:p>
        </w:tc>
      </w:tr>
    </w:tbl>
    <w:p w14:paraId="0721A1E8">
      <w:pPr>
        <w:keepNext w:val="0"/>
        <w:keepLines w:val="0"/>
        <w:widowControl/>
        <w:numPr>
          <w:ilvl w:val="0"/>
          <w:numId w:val="0"/>
        </w:numPr>
        <w:suppressLineNumbers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注：①报价不得存在区间值（如XX～XX）；</w:t>
      </w:r>
    </w:p>
    <w:p w14:paraId="1EF14D07">
      <w:pPr>
        <w:keepNext w:val="0"/>
        <w:keepLines w:val="0"/>
        <w:widowControl/>
        <w:numPr>
          <w:ilvl w:val="0"/>
          <w:numId w:val="0"/>
        </w:numPr>
        <w:suppressLineNumbers w:val="0"/>
        <w:ind w:left="428" w:leftChars="204"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②收费标准限额参照广州市财政局文件穗财编﹝2023﹞10号《广州市财政局关于印发广州市市本级公务用车租赁费用支出标准的通知》要求标准执行：小微型客车5座及以下400元/日，小微型客车6-9座600元/日，中型客车10-25座900元/日，大型客车26-39座1200元/日，大型客车40座以上1400元/日；</w:t>
      </w:r>
    </w:p>
    <w:p w14:paraId="7383E8EF">
      <w:pPr>
        <w:keepNext w:val="0"/>
        <w:keepLines w:val="0"/>
        <w:widowControl/>
        <w:numPr>
          <w:ilvl w:val="0"/>
          <w:numId w:val="0"/>
        </w:numPr>
        <w:suppressLineNumbers w:val="0"/>
        <w:ind w:left="420" w:leftChars="200"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③每辆车每日租赁费用报价应包括车辆租赁服务发生的所有费用：租赁大客车的驾驶员薪金（正常工资、工作日和节假日加班费及其它用工费用）、燃料费、停车费、广州市内高速路通行费、年票、车船税、交强险、乘客意外事故险等商业险，车辆年审费、车辆维修保养费、轮胎、洗车费、公路基金、道路规划费、交通运管费、公共事业附加费及发票税金等；</w:t>
      </w:r>
    </w:p>
    <w:p w14:paraId="560D13B9">
      <w:pPr>
        <w:keepNext w:val="0"/>
        <w:keepLines w:val="0"/>
        <w:widowControl/>
        <w:numPr>
          <w:ilvl w:val="0"/>
          <w:numId w:val="0"/>
        </w:numPr>
        <w:suppressLineNumbers w:val="0"/>
        <w:ind w:left="486" w:leftChars="200" w:hanging="66" w:hangingChars="30"/>
        <w:jc w:val="left"/>
        <w:textAlignment w:val="center"/>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④广州市外高速路通行费按实际使用量加入车辆租赁费用统一结算。</w:t>
      </w:r>
    </w:p>
    <w:p w14:paraId="45ECBB8F">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14:paraId="51C32C57">
      <w:pPr>
        <w:keepNext w:val="0"/>
        <w:keepLines w:val="0"/>
        <w:widowControl/>
        <w:suppressLineNumbers w:val="0"/>
        <w:jc w:val="left"/>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附加费用（若有）：</w:t>
      </w:r>
    </w:p>
    <w:tbl>
      <w:tblPr>
        <w:tblStyle w:val="15"/>
        <w:tblW w:w="8643"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934"/>
        <w:gridCol w:w="4861"/>
      </w:tblGrid>
      <w:tr w14:paraId="595B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48" w:type="dxa"/>
            <w:noWrap w:val="0"/>
            <w:vAlign w:val="top"/>
          </w:tcPr>
          <w:p w14:paraId="0CB8D762">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default" w:ascii="宋体" w:hAnsi="宋体" w:eastAsia="宋体" w:cs="宋体"/>
                <w:b/>
                <w:bCs/>
                <w:i w:val="0"/>
                <w:iCs w:val="0"/>
                <w:snapToGrid w:val="0"/>
                <w:color w:val="000000"/>
                <w:kern w:val="0"/>
                <w:sz w:val="28"/>
                <w:szCs w:val="28"/>
                <w:u w:val="none"/>
                <w:lang w:val="en-US" w:eastAsia="zh-CN" w:bidi="ar"/>
              </w:rPr>
              <w:t>收费项目</w:t>
            </w:r>
          </w:p>
        </w:tc>
        <w:tc>
          <w:tcPr>
            <w:tcW w:w="1934" w:type="dxa"/>
            <w:noWrap w:val="0"/>
            <w:vAlign w:val="top"/>
          </w:tcPr>
          <w:p w14:paraId="3956989B">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收费金额</w:t>
            </w:r>
          </w:p>
        </w:tc>
        <w:tc>
          <w:tcPr>
            <w:tcW w:w="4861" w:type="dxa"/>
            <w:noWrap w:val="0"/>
            <w:vAlign w:val="top"/>
          </w:tcPr>
          <w:p w14:paraId="0430E53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备注</w:t>
            </w:r>
          </w:p>
        </w:tc>
      </w:tr>
      <w:tr w14:paraId="6C37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noWrap w:val="0"/>
            <w:vAlign w:val="top"/>
          </w:tcPr>
          <w:p w14:paraId="2557BE6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934" w:type="dxa"/>
            <w:noWrap w:val="0"/>
            <w:vAlign w:val="top"/>
          </w:tcPr>
          <w:p w14:paraId="4A9A4F7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4861" w:type="dxa"/>
            <w:noWrap w:val="0"/>
            <w:vAlign w:val="top"/>
          </w:tcPr>
          <w:p w14:paraId="1290ED39">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r>
    </w:tbl>
    <w:p w14:paraId="0A4DDD68">
      <w:pPr>
        <w:bidi w:val="0"/>
        <w:rPr>
          <w:rFonts w:hint="eastAsia"/>
          <w:lang w:val="en-US" w:eastAsia="zh-CN"/>
        </w:rPr>
      </w:pPr>
    </w:p>
    <w:p w14:paraId="35E58C10">
      <w:pPr>
        <w:widowControl w:val="0"/>
        <w:kinsoku/>
        <w:autoSpaceDE/>
        <w:autoSpaceDN/>
        <w:bidi w:val="0"/>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供应商名称</w:t>
      </w:r>
      <w:r>
        <w:rPr>
          <w:rFonts w:hint="eastAsia" w:ascii="仿宋" w:hAnsi="仿宋" w:eastAsia="仿宋" w:cs="仿宋"/>
          <w:snapToGrid/>
          <w:kern w:val="2"/>
          <w:sz w:val="24"/>
          <w:szCs w:val="22"/>
        </w:rPr>
        <w:t>(</w:t>
      </w:r>
      <w:r>
        <w:rPr>
          <w:rFonts w:hint="eastAsia" w:ascii="仿宋" w:hAnsi="仿宋" w:eastAsia="仿宋" w:cs="仿宋"/>
          <w:snapToGrid/>
          <w:kern w:val="2"/>
          <w:sz w:val="24"/>
          <w:szCs w:val="22"/>
          <w:lang w:eastAsia="zh-CN"/>
        </w:rPr>
        <w:t>加盖</w:t>
      </w:r>
      <w:r>
        <w:rPr>
          <w:rFonts w:hint="eastAsia" w:ascii="仿宋" w:hAnsi="仿宋" w:eastAsia="仿宋" w:cs="仿宋"/>
          <w:snapToGrid/>
          <w:kern w:val="2"/>
          <w:sz w:val="24"/>
          <w:szCs w:val="22"/>
        </w:rPr>
        <w:t>公章)</w:t>
      </w:r>
      <w:r>
        <w:rPr>
          <w:rFonts w:hint="eastAsia" w:ascii="仿宋" w:hAnsi="仿宋" w:eastAsia="仿宋" w:cs="仿宋"/>
          <w:snapToGrid/>
          <w:kern w:val="2"/>
          <w:sz w:val="24"/>
          <w:szCs w:val="22"/>
          <w:lang w:eastAsia="zh-CN"/>
        </w:rPr>
        <w:t>：</w:t>
      </w:r>
    </w:p>
    <w:p w14:paraId="40A03BAD">
      <w:pPr>
        <w:widowControl w:val="0"/>
        <w:kinsoku/>
        <w:autoSpaceDE/>
        <w:autoSpaceDN/>
        <w:bidi w:val="0"/>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日期：</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eastAsia="zh-CN"/>
        </w:rPr>
        <w:t>年</w:t>
      </w:r>
      <w:r>
        <w:rPr>
          <w:rFonts w:hint="eastAsia" w:ascii="仿宋" w:hAnsi="仿宋" w:eastAsia="仿宋" w:cs="仿宋"/>
          <w:snapToGrid/>
          <w:kern w:val="2"/>
          <w:sz w:val="24"/>
          <w:szCs w:val="22"/>
        </w:rPr>
        <w:t xml:space="preserve">  月  日</w:t>
      </w:r>
    </w:p>
    <w:p w14:paraId="4FB73987">
      <w:pPr>
        <w:widowControl w:val="0"/>
        <w:kinsoku/>
        <w:autoSpaceDE/>
        <w:autoSpaceDN/>
        <w:adjustRightInd/>
        <w:snapToGrid/>
        <w:jc w:val="both"/>
        <w:textAlignment w:val="auto"/>
        <w:rPr>
          <w:rFonts w:hint="eastAsia"/>
          <w:lang w:val="en-US" w:eastAsia="zh-CN"/>
        </w:rPr>
      </w:pPr>
      <w:r>
        <w:rPr>
          <w:rFonts w:hint="eastAsia" w:ascii="仿宋" w:hAnsi="仿宋" w:eastAsia="仿宋" w:cs="仿宋"/>
          <w:snapToGrid/>
          <w:kern w:val="2"/>
          <w:sz w:val="28"/>
          <w:szCs w:val="28"/>
        </w:rPr>
        <w:br w:type="page"/>
      </w:r>
      <w:bookmarkStart w:id="6" w:name="_Toc133103948"/>
    </w:p>
    <w:p w14:paraId="2D313DBD">
      <w:pPr>
        <w:pStyle w:val="3"/>
        <w:bidi w:val="0"/>
        <w:rPr>
          <w:rFonts w:hint="eastAsia"/>
          <w:lang w:val="en-US" w:eastAsia="zh-CN"/>
        </w:rPr>
      </w:pPr>
      <w:bookmarkStart w:id="7" w:name="_Toc25000"/>
      <w:r>
        <w:rPr>
          <w:rFonts w:hint="eastAsia"/>
          <w:lang w:val="en-US" w:eastAsia="zh-CN"/>
        </w:rPr>
        <w:t>服务团队</w:t>
      </w:r>
      <w:bookmarkEnd w:id="7"/>
    </w:p>
    <w:tbl>
      <w:tblPr>
        <w:tblStyle w:val="15"/>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30"/>
        <w:gridCol w:w="995"/>
        <w:gridCol w:w="2115"/>
        <w:gridCol w:w="1260"/>
        <w:gridCol w:w="1463"/>
        <w:gridCol w:w="1256"/>
      </w:tblGrid>
      <w:tr w14:paraId="2504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4A00FCA3">
            <w:pPr>
              <w:widowControl w:val="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730" w:type="dxa"/>
            <w:vAlign w:val="center"/>
          </w:tcPr>
          <w:p w14:paraId="169EF00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姓名</w:t>
            </w:r>
          </w:p>
        </w:tc>
        <w:tc>
          <w:tcPr>
            <w:tcW w:w="995" w:type="dxa"/>
            <w:vAlign w:val="center"/>
          </w:tcPr>
          <w:p w14:paraId="49DF47D8">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岗位</w:t>
            </w:r>
          </w:p>
        </w:tc>
        <w:tc>
          <w:tcPr>
            <w:tcW w:w="2115" w:type="dxa"/>
            <w:vAlign w:val="center"/>
          </w:tcPr>
          <w:p w14:paraId="6D3100D0">
            <w:pPr>
              <w:widowControl w:val="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1260" w:type="dxa"/>
            <w:vAlign w:val="center"/>
          </w:tcPr>
          <w:p w14:paraId="162AC59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c>
          <w:tcPr>
            <w:tcW w:w="1463" w:type="dxa"/>
            <w:vAlign w:val="center"/>
          </w:tcPr>
          <w:p w14:paraId="179A0E55">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1256" w:type="dxa"/>
            <w:vAlign w:val="center"/>
          </w:tcPr>
          <w:p w14:paraId="39E54E5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在本公司缴纳社保的时间</w:t>
            </w:r>
          </w:p>
        </w:tc>
      </w:tr>
      <w:tr w14:paraId="5B8F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1F7A3F42">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A430AFD">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EA2809B">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41E445AE">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0C4C27B6">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6BE2C7C7">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5F7CB58F">
            <w:pPr>
              <w:widowControl w:val="0"/>
              <w:jc w:val="center"/>
              <w:rPr>
                <w:rFonts w:hint="eastAsia" w:ascii="仿宋" w:hAnsi="仿宋" w:eastAsia="仿宋" w:cs="仿宋"/>
                <w:sz w:val="24"/>
                <w:szCs w:val="24"/>
                <w:vertAlign w:val="baseline"/>
                <w:lang w:val="en-US" w:eastAsia="zh-CN"/>
              </w:rPr>
            </w:pPr>
          </w:p>
        </w:tc>
      </w:tr>
      <w:tr w14:paraId="6C73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070D7465">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3CCE1524">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23AC0A0A">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523D38B2">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5A3B10C4">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690CD649">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42CF9080">
            <w:pPr>
              <w:widowControl w:val="0"/>
              <w:jc w:val="center"/>
              <w:rPr>
                <w:rFonts w:hint="eastAsia" w:ascii="仿宋" w:hAnsi="仿宋" w:eastAsia="仿宋" w:cs="仿宋"/>
                <w:sz w:val="24"/>
                <w:szCs w:val="24"/>
                <w:vertAlign w:val="baseline"/>
                <w:lang w:val="en-US" w:eastAsia="zh-CN"/>
              </w:rPr>
            </w:pPr>
          </w:p>
        </w:tc>
      </w:tr>
      <w:tr w14:paraId="689B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4301F87E">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08D84450">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F968666">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2BC6FFAE">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2F3BDA99">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54A2279F">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39BA6C6D">
            <w:pPr>
              <w:widowControl w:val="0"/>
              <w:jc w:val="center"/>
              <w:rPr>
                <w:rFonts w:hint="eastAsia" w:ascii="仿宋" w:hAnsi="仿宋" w:eastAsia="仿宋" w:cs="仿宋"/>
                <w:sz w:val="24"/>
                <w:szCs w:val="24"/>
                <w:vertAlign w:val="baseline"/>
                <w:lang w:val="en-US" w:eastAsia="zh-CN"/>
              </w:rPr>
            </w:pPr>
          </w:p>
        </w:tc>
      </w:tr>
      <w:tr w14:paraId="4313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17CD8839">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472CF48">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3591D341">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5B71564C">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615B3B65">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5529624F">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05EDE176">
            <w:pPr>
              <w:widowControl w:val="0"/>
              <w:jc w:val="center"/>
              <w:rPr>
                <w:rFonts w:hint="eastAsia" w:ascii="仿宋" w:hAnsi="仿宋" w:eastAsia="仿宋" w:cs="仿宋"/>
                <w:sz w:val="24"/>
                <w:szCs w:val="24"/>
                <w:vertAlign w:val="baseline"/>
                <w:lang w:val="en-US" w:eastAsia="zh-CN"/>
              </w:rPr>
            </w:pPr>
          </w:p>
        </w:tc>
      </w:tr>
      <w:tr w14:paraId="6709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72869856">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2677814">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9FD506E">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0399F040">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71659187">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10CA90E1">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1ABF2BBD">
            <w:pPr>
              <w:widowControl w:val="0"/>
              <w:jc w:val="center"/>
              <w:rPr>
                <w:rFonts w:hint="eastAsia" w:ascii="仿宋" w:hAnsi="仿宋" w:eastAsia="仿宋" w:cs="仿宋"/>
                <w:sz w:val="24"/>
                <w:szCs w:val="24"/>
                <w:vertAlign w:val="baseline"/>
                <w:lang w:val="en-US" w:eastAsia="zh-CN"/>
              </w:rPr>
            </w:pPr>
          </w:p>
        </w:tc>
      </w:tr>
    </w:tbl>
    <w:p w14:paraId="2A83EC34">
      <w:pPr>
        <w:rPr>
          <w:rFonts w:hint="eastAsia"/>
          <w:lang w:val="en-US" w:eastAsia="zh-CN"/>
        </w:rPr>
      </w:pPr>
      <w:r>
        <w:rPr>
          <w:rFonts w:hint="eastAsia"/>
          <w:lang w:val="en-US" w:eastAsia="zh-CN"/>
        </w:rPr>
        <w:t>注：后附相关证书复印件，加盖供应商单位公章。</w:t>
      </w:r>
    </w:p>
    <w:p w14:paraId="7CDDBF23">
      <w:pPr>
        <w:pStyle w:val="3"/>
        <w:bidi w:val="0"/>
        <w:rPr>
          <w:rFonts w:hint="eastAsia"/>
          <w:lang w:val="en-US" w:eastAsia="zh-CN"/>
        </w:rPr>
      </w:pPr>
      <w:bookmarkStart w:id="8" w:name="_Toc20737"/>
      <w:r>
        <w:rPr>
          <w:rFonts w:hint="eastAsia"/>
          <w:lang w:val="en-US" w:eastAsia="zh-CN"/>
        </w:rPr>
        <w:t>客运能力</w:t>
      </w:r>
      <w:bookmarkEnd w:id="8"/>
    </w:p>
    <w:p w14:paraId="175F211E">
      <w:pPr>
        <w:rPr>
          <w:rFonts w:hint="default"/>
          <w:lang w:val="en-US" w:eastAsia="zh-CN"/>
        </w:rPr>
      </w:pPr>
      <w:r>
        <w:rPr>
          <w:rFonts w:hint="eastAsia"/>
          <w:sz w:val="28"/>
          <w:szCs w:val="28"/>
          <w:lang w:val="en-US" w:eastAsia="zh-CN"/>
        </w:rPr>
        <w:t>1、车型：XXX，车牌号：XXX，座位数：XXX，使用时长：X年</w:t>
      </w:r>
    </w:p>
    <w:tbl>
      <w:tblPr>
        <w:tblStyle w:val="15"/>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55DB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F6B818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644525E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46E8A20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0AF3554A">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0FD9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FC4A6D1">
            <w:pPr>
              <w:widowControl w:val="0"/>
              <w:numPr>
                <w:ilvl w:val="0"/>
                <w:numId w:val="6"/>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77A5347E">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377257F">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36699E6A">
            <w:pPr>
              <w:widowControl w:val="0"/>
              <w:jc w:val="center"/>
              <w:rPr>
                <w:rFonts w:hint="eastAsia" w:ascii="仿宋" w:hAnsi="仿宋" w:eastAsia="仿宋" w:cs="仿宋"/>
                <w:sz w:val="24"/>
                <w:szCs w:val="24"/>
                <w:vertAlign w:val="baseline"/>
                <w:lang w:val="en-US" w:eastAsia="zh-CN"/>
              </w:rPr>
            </w:pPr>
          </w:p>
        </w:tc>
      </w:tr>
      <w:tr w14:paraId="0F84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A51F1EC">
            <w:pPr>
              <w:widowControl w:val="0"/>
              <w:numPr>
                <w:ilvl w:val="0"/>
                <w:numId w:val="6"/>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5E091DCC">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5949C9E0">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6498ADB0">
            <w:pPr>
              <w:widowControl w:val="0"/>
              <w:jc w:val="center"/>
              <w:rPr>
                <w:rFonts w:hint="eastAsia" w:ascii="仿宋" w:hAnsi="仿宋" w:eastAsia="仿宋" w:cs="仿宋"/>
                <w:sz w:val="24"/>
                <w:szCs w:val="24"/>
                <w:vertAlign w:val="baseline"/>
                <w:lang w:val="en-US" w:eastAsia="zh-CN"/>
              </w:rPr>
            </w:pPr>
          </w:p>
        </w:tc>
      </w:tr>
      <w:tr w14:paraId="789E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7D8C85D">
            <w:pPr>
              <w:widowControl w:val="0"/>
              <w:numPr>
                <w:ilvl w:val="0"/>
                <w:numId w:val="6"/>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F47E301">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568B59EF">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B8D6BF4">
            <w:pPr>
              <w:widowControl w:val="0"/>
              <w:jc w:val="center"/>
              <w:rPr>
                <w:rFonts w:hint="eastAsia" w:ascii="仿宋" w:hAnsi="仿宋" w:eastAsia="仿宋" w:cs="仿宋"/>
                <w:sz w:val="24"/>
                <w:szCs w:val="24"/>
                <w:vertAlign w:val="baseline"/>
                <w:lang w:val="en-US" w:eastAsia="zh-CN"/>
              </w:rPr>
            </w:pPr>
          </w:p>
        </w:tc>
      </w:tr>
    </w:tbl>
    <w:p w14:paraId="1864356A">
      <w:pPr>
        <w:rPr>
          <w:rFonts w:hint="default"/>
          <w:lang w:val="en-US" w:eastAsia="zh-CN"/>
        </w:rPr>
      </w:pPr>
      <w:r>
        <w:rPr>
          <w:rFonts w:hint="eastAsia"/>
          <w:sz w:val="28"/>
          <w:szCs w:val="28"/>
          <w:lang w:val="en-US" w:eastAsia="zh-CN"/>
        </w:rPr>
        <w:t>2、车型：XXX，车牌号：XXX，座位数：XXX，使用时长：X年</w:t>
      </w:r>
    </w:p>
    <w:tbl>
      <w:tblPr>
        <w:tblStyle w:val="15"/>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3EFC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7E263D3">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59CE55AC">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28BE3234">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31B8D05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59C7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73068FC7">
            <w:pPr>
              <w:widowControl w:val="0"/>
              <w:numPr>
                <w:ilvl w:val="0"/>
                <w:numId w:val="7"/>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105B50D">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1D7C6A9">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2B7860D0">
            <w:pPr>
              <w:widowControl w:val="0"/>
              <w:jc w:val="center"/>
              <w:rPr>
                <w:rFonts w:hint="eastAsia" w:ascii="仿宋" w:hAnsi="仿宋" w:eastAsia="仿宋" w:cs="仿宋"/>
                <w:sz w:val="24"/>
                <w:szCs w:val="24"/>
                <w:vertAlign w:val="baseline"/>
                <w:lang w:val="en-US" w:eastAsia="zh-CN"/>
              </w:rPr>
            </w:pPr>
          </w:p>
        </w:tc>
      </w:tr>
      <w:tr w14:paraId="3EFF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BC549E6">
            <w:pPr>
              <w:widowControl w:val="0"/>
              <w:numPr>
                <w:ilvl w:val="0"/>
                <w:numId w:val="7"/>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79E3F1AF">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393CDC3">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51363EA">
            <w:pPr>
              <w:widowControl w:val="0"/>
              <w:jc w:val="center"/>
              <w:rPr>
                <w:rFonts w:hint="eastAsia" w:ascii="仿宋" w:hAnsi="仿宋" w:eastAsia="仿宋" w:cs="仿宋"/>
                <w:sz w:val="24"/>
                <w:szCs w:val="24"/>
                <w:vertAlign w:val="baseline"/>
                <w:lang w:val="en-US" w:eastAsia="zh-CN"/>
              </w:rPr>
            </w:pPr>
          </w:p>
        </w:tc>
      </w:tr>
      <w:tr w14:paraId="1A35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F6BC3A9">
            <w:pPr>
              <w:widowControl w:val="0"/>
              <w:numPr>
                <w:ilvl w:val="0"/>
                <w:numId w:val="7"/>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108F6A42">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E29757C">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411D4A4E">
            <w:pPr>
              <w:widowControl w:val="0"/>
              <w:jc w:val="center"/>
              <w:rPr>
                <w:rFonts w:hint="eastAsia" w:ascii="仿宋" w:hAnsi="仿宋" w:eastAsia="仿宋" w:cs="仿宋"/>
                <w:sz w:val="24"/>
                <w:szCs w:val="24"/>
                <w:vertAlign w:val="baseline"/>
                <w:lang w:val="en-US" w:eastAsia="zh-CN"/>
              </w:rPr>
            </w:pPr>
          </w:p>
        </w:tc>
      </w:tr>
    </w:tbl>
    <w:p w14:paraId="75D6FC4C">
      <w:pPr>
        <w:rPr>
          <w:rFonts w:hint="eastAsia"/>
          <w:lang w:val="en-US" w:eastAsia="zh-CN"/>
        </w:rPr>
      </w:pPr>
      <w:r>
        <w:rPr>
          <w:rFonts w:hint="eastAsia"/>
          <w:lang w:val="en-US" w:eastAsia="zh-CN"/>
        </w:rPr>
        <w:t>注：后附车辆图片、相关证书复印件，加盖供应商单位公章。</w:t>
      </w:r>
    </w:p>
    <w:p w14:paraId="17BF097A">
      <w:pPr>
        <w:pStyle w:val="3"/>
        <w:bidi w:val="0"/>
        <w:rPr>
          <w:rFonts w:hint="eastAsia"/>
          <w:lang w:val="en-US" w:eastAsia="zh-CN"/>
        </w:rPr>
      </w:pPr>
      <w:bookmarkStart w:id="9" w:name="_Toc24075"/>
      <w:r>
        <w:rPr>
          <w:rFonts w:hint="eastAsia"/>
          <w:lang w:val="en-US" w:eastAsia="zh-CN"/>
        </w:rPr>
        <w:t>项目服务方案</w:t>
      </w:r>
      <w:bookmarkEnd w:id="6"/>
      <w:bookmarkEnd w:id="9"/>
    </w:p>
    <w:p w14:paraId="3E2877E6">
      <w:pPr>
        <w:numPr>
          <w:ilvl w:val="0"/>
          <w:numId w:val="8"/>
        </w:numPr>
        <w:spacing w:line="360" w:lineRule="auto"/>
        <w:rPr>
          <w:rFonts w:hint="eastAsia" w:asciiTheme="minorEastAsia" w:hAnsiTheme="minorEastAsia" w:eastAsiaTheme="minorEastAsia"/>
          <w:sz w:val="28"/>
          <w:szCs w:val="28"/>
          <w:lang w:val="en-US" w:eastAsia="zh-CN"/>
        </w:rPr>
      </w:pPr>
      <w:bookmarkStart w:id="10" w:name="_Toc10990"/>
      <w:bookmarkStart w:id="11" w:name="_Toc1566"/>
      <w:r>
        <w:rPr>
          <w:rFonts w:hint="eastAsia" w:asciiTheme="minorEastAsia" w:hAnsiTheme="minorEastAsia" w:eastAsiaTheme="minorEastAsia"/>
          <w:sz w:val="28"/>
          <w:szCs w:val="28"/>
          <w:lang w:val="en-US" w:eastAsia="zh-CN"/>
        </w:rPr>
        <w:t>项目方案</w:t>
      </w:r>
    </w:p>
    <w:p w14:paraId="238FCCCC">
      <w:pPr>
        <w:numPr>
          <w:ilvl w:val="0"/>
          <w:numId w:val="8"/>
        </w:num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车辆管理及安全管理制度</w:t>
      </w:r>
    </w:p>
    <w:p w14:paraId="49C35159">
      <w:pPr>
        <w:numPr>
          <w:ilvl w:val="0"/>
          <w:numId w:val="8"/>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应急预案流程</w:t>
      </w:r>
    </w:p>
    <w:p w14:paraId="0819EE07">
      <w:pPr>
        <w:numPr>
          <w:ilvl w:val="0"/>
          <w:numId w:val="8"/>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其他方案</w:t>
      </w:r>
    </w:p>
    <w:bookmarkEnd w:id="10"/>
    <w:bookmarkEnd w:id="11"/>
    <w:p w14:paraId="14345C86">
      <w:pPr>
        <w:pStyle w:val="3"/>
        <w:bidi w:val="0"/>
        <w:rPr>
          <w:rFonts w:hint="eastAsia"/>
          <w:lang w:val="en-US" w:eastAsia="zh-CN"/>
        </w:rPr>
      </w:pPr>
      <w:bookmarkStart w:id="12" w:name="_Toc33"/>
      <w:bookmarkStart w:id="13" w:name="_Toc133103949"/>
      <w:r>
        <w:rPr>
          <w:rFonts w:hint="eastAsia"/>
          <w:lang w:val="en-US" w:eastAsia="zh-CN"/>
        </w:rPr>
        <w:t>近三年同类项目业绩（后附成交合同附件关键页）</w:t>
      </w:r>
      <w:bookmarkEnd w:id="12"/>
    </w:p>
    <w:tbl>
      <w:tblPr>
        <w:tblStyle w:val="15"/>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672"/>
        <w:gridCol w:w="1362"/>
        <w:gridCol w:w="1128"/>
        <w:gridCol w:w="1284"/>
        <w:gridCol w:w="1212"/>
        <w:gridCol w:w="1131"/>
      </w:tblGrid>
      <w:tr w14:paraId="0E75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0048D9D0">
            <w:pPr>
              <w:widowControl w:val="0"/>
              <w:jc w:val="center"/>
              <w:rPr>
                <w:rFonts w:hint="default"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序号</w:t>
            </w:r>
          </w:p>
        </w:tc>
        <w:tc>
          <w:tcPr>
            <w:tcW w:w="1672" w:type="dxa"/>
            <w:vAlign w:val="center"/>
          </w:tcPr>
          <w:p w14:paraId="63071810">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项目名称</w:t>
            </w:r>
          </w:p>
        </w:tc>
        <w:tc>
          <w:tcPr>
            <w:tcW w:w="1362" w:type="dxa"/>
            <w:vAlign w:val="center"/>
          </w:tcPr>
          <w:p w14:paraId="7DE99059">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采购人名称</w:t>
            </w:r>
          </w:p>
        </w:tc>
        <w:tc>
          <w:tcPr>
            <w:tcW w:w="1128" w:type="dxa"/>
            <w:vAlign w:val="center"/>
          </w:tcPr>
          <w:p w14:paraId="2B41C8C5">
            <w:pPr>
              <w:widowControl w:val="0"/>
              <w:jc w:val="center"/>
              <w:rPr>
                <w:rFonts w:hint="default"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采购品类</w:t>
            </w:r>
          </w:p>
        </w:tc>
        <w:tc>
          <w:tcPr>
            <w:tcW w:w="1284" w:type="dxa"/>
            <w:vAlign w:val="center"/>
          </w:tcPr>
          <w:p w14:paraId="6D9908C4">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项目预算</w:t>
            </w:r>
          </w:p>
        </w:tc>
        <w:tc>
          <w:tcPr>
            <w:tcW w:w="1212" w:type="dxa"/>
            <w:vAlign w:val="center"/>
          </w:tcPr>
          <w:p w14:paraId="3A23D2F8">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中标价</w:t>
            </w:r>
          </w:p>
        </w:tc>
        <w:tc>
          <w:tcPr>
            <w:tcW w:w="1131" w:type="dxa"/>
            <w:vAlign w:val="center"/>
          </w:tcPr>
          <w:p w14:paraId="14937F7B">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公示时间</w:t>
            </w:r>
          </w:p>
        </w:tc>
      </w:tr>
      <w:tr w14:paraId="51D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55CE8254">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1E9D130F">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35ED3653">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11FF49F7">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034D8744">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1EDBCA66">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63C81460">
            <w:pPr>
              <w:widowControl w:val="0"/>
              <w:jc w:val="center"/>
              <w:rPr>
                <w:rFonts w:hint="eastAsia" w:ascii="仿宋" w:hAnsi="仿宋" w:eastAsia="仿宋" w:cs="仿宋"/>
                <w:sz w:val="22"/>
                <w:szCs w:val="22"/>
                <w:vertAlign w:val="baseline"/>
                <w:lang w:val="en-US" w:eastAsia="zh-CN"/>
              </w:rPr>
            </w:pPr>
          </w:p>
        </w:tc>
      </w:tr>
      <w:tr w14:paraId="2C9A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51D6BAA7">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2A7EEDB7">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5E62161F">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522B1080">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4A4603E6">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4C7A3F92">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36D46CCE">
            <w:pPr>
              <w:widowControl w:val="0"/>
              <w:jc w:val="center"/>
              <w:rPr>
                <w:rFonts w:hint="eastAsia" w:ascii="仿宋" w:hAnsi="仿宋" w:eastAsia="仿宋" w:cs="仿宋"/>
                <w:sz w:val="22"/>
                <w:szCs w:val="22"/>
                <w:vertAlign w:val="baseline"/>
                <w:lang w:val="en-US" w:eastAsia="zh-CN"/>
              </w:rPr>
            </w:pPr>
          </w:p>
        </w:tc>
      </w:tr>
      <w:tr w14:paraId="7C88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4ED83239">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6FA45061">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7770212F">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73753F2B">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3ACC21EE">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792669FB">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7D9AF5BA">
            <w:pPr>
              <w:widowControl w:val="0"/>
              <w:jc w:val="center"/>
              <w:rPr>
                <w:rFonts w:hint="eastAsia" w:ascii="仿宋" w:hAnsi="仿宋" w:eastAsia="仿宋" w:cs="仿宋"/>
                <w:sz w:val="22"/>
                <w:szCs w:val="22"/>
                <w:vertAlign w:val="baseline"/>
                <w:lang w:val="en-US" w:eastAsia="zh-CN"/>
              </w:rPr>
            </w:pPr>
          </w:p>
        </w:tc>
      </w:tr>
      <w:tr w14:paraId="1151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7A3FE469">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536EF70E">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5B514CC1">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69D0F3E9">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1F4CE538">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532DA942">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095FDDB3">
            <w:pPr>
              <w:widowControl w:val="0"/>
              <w:jc w:val="center"/>
              <w:rPr>
                <w:rFonts w:hint="eastAsia" w:ascii="仿宋" w:hAnsi="仿宋" w:eastAsia="仿宋" w:cs="仿宋"/>
                <w:sz w:val="22"/>
                <w:szCs w:val="22"/>
                <w:vertAlign w:val="baseline"/>
                <w:lang w:val="en-US" w:eastAsia="zh-CN"/>
              </w:rPr>
            </w:pPr>
          </w:p>
        </w:tc>
      </w:tr>
    </w:tbl>
    <w:p w14:paraId="50EE1338">
      <w:pPr>
        <w:rPr>
          <w:rFonts w:hint="eastAsia"/>
          <w:lang w:val="en-US" w:eastAsia="zh-CN"/>
        </w:rPr>
      </w:pPr>
    </w:p>
    <w:p w14:paraId="29E3BE9D">
      <w:pPr>
        <w:rPr>
          <w:rFonts w:hint="default"/>
          <w:lang w:val="en-US" w:eastAsia="zh-CN"/>
        </w:rPr>
      </w:pPr>
      <w:r>
        <w:rPr>
          <w:rFonts w:hint="eastAsia"/>
          <w:lang w:val="en-US" w:eastAsia="zh-CN"/>
        </w:rPr>
        <w:t>注：请提供不少于三份历史成交项目，如中标价为下浮率/折扣率，请一并写明。</w:t>
      </w:r>
    </w:p>
    <w:p w14:paraId="0C67A826">
      <w:pPr>
        <w:pStyle w:val="3"/>
        <w:bidi w:val="0"/>
      </w:pPr>
      <w:bookmarkStart w:id="14" w:name="_Toc28401"/>
      <w:r>
        <w:rPr>
          <w:rFonts w:hint="eastAsia"/>
          <w:lang w:val="en-US" w:eastAsia="zh-CN"/>
        </w:rPr>
        <w:t>廉洁承诺书</w:t>
      </w:r>
      <w:bookmarkEnd w:id="13"/>
      <w:bookmarkEnd w:id="14"/>
    </w:p>
    <w:p w14:paraId="599BE156">
      <w:pPr>
        <w:jc w:val="center"/>
      </w:pPr>
      <w:r>
        <w:rPr>
          <w:b/>
          <w:sz w:val="44"/>
        </w:rPr>
        <w:t>廉洁承诺书</w:t>
      </w:r>
    </w:p>
    <w:p w14:paraId="05FF14FD">
      <w:pPr>
        <w:jc w:val="center"/>
        <w:rPr>
          <w:sz w:val="24"/>
        </w:rPr>
      </w:pPr>
    </w:p>
    <w:p w14:paraId="5F310AFB">
      <w:pPr>
        <w:jc w:val="left"/>
      </w:pPr>
      <w:r>
        <w:rPr>
          <w:sz w:val="24"/>
        </w:rPr>
        <w:t>（单位名称）：</w:t>
      </w:r>
    </w:p>
    <w:p w14:paraId="131237BC">
      <w:pPr>
        <w:jc w:val="left"/>
      </w:pPr>
      <w:r>
        <w:rPr>
          <w:sz w:val="24"/>
        </w:rPr>
        <w:t>贵单位　　　年　　月　　日发布的                项目的采购公告，本公司（企业）愿意</w:t>
      </w:r>
      <w:r>
        <w:rPr>
          <w:rFonts w:hint="eastAsia" w:eastAsia="宋体"/>
          <w:sz w:val="24"/>
          <w:lang w:val="en-US" w:eastAsia="zh-CN"/>
        </w:rPr>
        <w:t>报名</w:t>
      </w:r>
      <w:r>
        <w:rPr>
          <w:sz w:val="24"/>
        </w:rPr>
        <w:t>参加，并作出如下廉洁承诺：</w:t>
      </w:r>
    </w:p>
    <w:p w14:paraId="47DBF099">
      <w:pPr>
        <w:jc w:val="left"/>
      </w:pPr>
      <w:r>
        <w:rPr>
          <w:sz w:val="24"/>
        </w:rPr>
        <w:t>1.本公司（企业）严格遵守国家有关法律法规以及廉洁从业有关规定，积极营造公平公正的政府采购活动环境。</w:t>
      </w:r>
    </w:p>
    <w:p w14:paraId="7A9A3001">
      <w:pPr>
        <w:jc w:val="left"/>
      </w:pPr>
      <w:r>
        <w:rPr>
          <w:sz w:val="24"/>
        </w:rPr>
        <w:t>2.加强本公司（企业）相关人员的管理和廉洁从业教育，自觉抵制不廉洁行为。在商务活动中发现存在违规违纪违法行为，将及时向监察部门或司法机关举报。</w:t>
      </w:r>
    </w:p>
    <w:p w14:paraId="34AA1416">
      <w:pPr>
        <w:jc w:val="left"/>
      </w:pPr>
      <w:r>
        <w:rPr>
          <w:sz w:val="24"/>
        </w:rPr>
        <w:t>3.不向采购人及其人员提供礼金、有价证券、支付凭证、贵重物品等。</w:t>
      </w:r>
    </w:p>
    <w:p w14:paraId="587CBE95">
      <w:pPr>
        <w:jc w:val="left"/>
      </w:pPr>
      <w:r>
        <w:rPr>
          <w:sz w:val="24"/>
        </w:rPr>
        <w:t>4.不为采购人及其人员报销应由采购人或个人支付的费用。</w:t>
      </w:r>
    </w:p>
    <w:p w14:paraId="5426A743">
      <w:pPr>
        <w:jc w:val="left"/>
      </w:pPr>
      <w:r>
        <w:rPr>
          <w:sz w:val="24"/>
        </w:rPr>
        <w:t>5.不为采购人员投资入股、个人借款或买卖股票、债券等提供方便。</w:t>
      </w:r>
    </w:p>
    <w:p w14:paraId="44AB3E21">
      <w:pPr>
        <w:jc w:val="left"/>
      </w:pPr>
      <w:r>
        <w:rPr>
          <w:sz w:val="24"/>
        </w:rPr>
        <w:t>6.不为采购人员购买或装修住房、婚丧嫁娶、配偶子女上学或工作安排以及出国（境）、旅游等提供方便。</w:t>
      </w:r>
    </w:p>
    <w:p w14:paraId="1AB440EE">
      <w:pPr>
        <w:jc w:val="left"/>
      </w:pPr>
      <w:r>
        <w:rPr>
          <w:sz w:val="24"/>
        </w:rPr>
        <w:t>7.不为采购人员安排有可能影响公正执行公务的宴请、健身、娱乐等活动。</w:t>
      </w:r>
    </w:p>
    <w:p w14:paraId="44782365">
      <w:pPr>
        <w:jc w:val="left"/>
      </w:pPr>
      <w:r>
        <w:rPr>
          <w:sz w:val="24"/>
        </w:rPr>
        <w:t>8.不为采购人及其人员购置或提供通讯工具、交通工具和高档办公用品。</w:t>
      </w:r>
    </w:p>
    <w:p w14:paraId="5F9A623A">
      <w:pPr>
        <w:jc w:val="left"/>
      </w:pPr>
      <w:r>
        <w:rPr>
          <w:sz w:val="24"/>
        </w:rPr>
        <w:t>9.不为采购人员的配偶、子女及其他亲属谋取不正当利益提供方便。</w:t>
      </w:r>
    </w:p>
    <w:p w14:paraId="7E819278">
      <w:pPr>
        <w:jc w:val="left"/>
      </w:pPr>
      <w:r>
        <w:rPr>
          <w:sz w:val="24"/>
        </w:rPr>
        <w:t>10.不违反规定安排采购人员在本公司（企业）或本公司（企业）相关企业兼职和领取兼职工资及报酬。</w:t>
      </w:r>
    </w:p>
    <w:p w14:paraId="093759BD">
      <w:pPr>
        <w:jc w:val="left"/>
      </w:pPr>
      <w:r>
        <w:rPr>
          <w:sz w:val="24"/>
        </w:rPr>
        <w:t>11.不利用非法手段向采购人员打探有关涉及采购人的商业秘密、业务渠道等。</w:t>
      </w:r>
    </w:p>
    <w:p w14:paraId="6A37B8F9">
      <w:pPr>
        <w:jc w:val="left"/>
      </w:pPr>
      <w:r>
        <w:rPr>
          <w:sz w:val="24"/>
        </w:rPr>
        <w:t>12.采购人对涉嫌不廉洁的商业行为进行调查时，本公司（企业）将积极配合，提供相关证据、佐证材料。</w:t>
      </w:r>
    </w:p>
    <w:p w14:paraId="7A5E280A">
      <w:pPr>
        <w:jc w:val="left"/>
        <w:rPr>
          <w:sz w:val="24"/>
        </w:rPr>
      </w:pPr>
      <w:r>
        <w:rPr>
          <w:sz w:val="24"/>
        </w:rPr>
        <w:t>本公司（企业）承诺在本次采购活动中，如有违反上述廉洁行为，所造成的损失、不良后果及法律责任，均由我公司（企业）承担。</w:t>
      </w:r>
    </w:p>
    <w:p w14:paraId="067745E8">
      <w:pPr>
        <w:pStyle w:val="2"/>
      </w:pPr>
    </w:p>
    <w:p w14:paraId="67051B45">
      <w:pPr>
        <w:pStyle w:val="2"/>
      </w:pPr>
    </w:p>
    <w:p w14:paraId="5ACDF696">
      <w:pPr>
        <w:jc w:val="right"/>
      </w:pPr>
      <w:r>
        <w:t xml:space="preserve">                                          </w:t>
      </w:r>
      <w:r>
        <w:rPr>
          <w:sz w:val="24"/>
        </w:rPr>
        <w:t xml:space="preserve">供应商名称（单位盖公章）：            </w:t>
      </w:r>
    </w:p>
    <w:p w14:paraId="02E686C8">
      <w:pPr>
        <w:jc w:val="right"/>
      </w:pPr>
      <w:r>
        <w:rPr>
          <w:sz w:val="24"/>
        </w:rPr>
        <w:t xml:space="preserve">法定代表人（签名）：            </w:t>
      </w:r>
    </w:p>
    <w:p w14:paraId="23419D0F">
      <w:pPr>
        <w:jc w:val="right"/>
        <w:rPr>
          <w:sz w:val="24"/>
        </w:rPr>
      </w:pPr>
      <w:r>
        <w:rPr>
          <w:sz w:val="24"/>
        </w:rPr>
        <w:t>时间：</w:t>
      </w:r>
    </w:p>
    <w:p w14:paraId="5C85AC87">
      <w:pPr>
        <w:pStyle w:val="3"/>
        <w:bidi w:val="0"/>
      </w:pPr>
      <w:bookmarkStart w:id="15" w:name="_Toc20793"/>
      <w:r>
        <w:rPr>
          <w:rFonts w:hint="eastAsia"/>
          <w:lang w:val="en-US" w:eastAsia="zh-CN"/>
        </w:rPr>
        <w:t>合同格式</w:t>
      </w:r>
      <w:bookmarkEnd w:id="15"/>
    </w:p>
    <w:p w14:paraId="398CBC04">
      <w:pPr>
        <w:pStyle w:val="23"/>
        <w:ind w:firstLine="480"/>
        <w:jc w:val="center"/>
        <w:rPr>
          <w:rFonts w:hint="default"/>
        </w:rPr>
      </w:pPr>
      <w:r>
        <w:rPr>
          <w:b/>
          <w:sz w:val="32"/>
        </w:rPr>
        <w:t>合同通用条款（服务类）</w:t>
      </w:r>
    </w:p>
    <w:p w14:paraId="6715B300">
      <w:pPr>
        <w:pStyle w:val="23"/>
        <w:ind w:firstLine="480"/>
        <w:jc w:val="both"/>
        <w:rPr>
          <w:rFonts w:hint="default"/>
        </w:rPr>
      </w:pPr>
    </w:p>
    <w:p w14:paraId="46810721">
      <w:pPr>
        <w:pStyle w:val="23"/>
        <w:ind w:firstLine="480"/>
        <w:jc w:val="both"/>
        <w:rPr>
          <w:rFonts w:hint="default"/>
        </w:rPr>
      </w:pPr>
      <w:r>
        <w:rPr>
          <w:b/>
          <w:sz w:val="24"/>
        </w:rPr>
        <w:t>注：本合同仅为合同的参考文本，合同签订双方可根据项目的具体要求进行修订，但不得偏离实质性条款。</w:t>
      </w:r>
    </w:p>
    <w:p w14:paraId="5EFB47B1">
      <w:pPr>
        <w:pStyle w:val="23"/>
        <w:ind w:firstLine="480"/>
        <w:jc w:val="center"/>
        <w:rPr>
          <w:rFonts w:hint="default"/>
        </w:rPr>
      </w:pPr>
      <w:r>
        <w:rPr>
          <w:b/>
          <w:sz w:val="22"/>
        </w:rPr>
        <w:t>一、总则</w:t>
      </w:r>
    </w:p>
    <w:p w14:paraId="68FA2ECF">
      <w:pPr>
        <w:pStyle w:val="23"/>
        <w:ind w:firstLine="480"/>
        <w:jc w:val="both"/>
        <w:rPr>
          <w:rFonts w:hint="default"/>
        </w:rPr>
      </w:pPr>
      <w:r>
        <w:rPr>
          <w:b/>
          <w:sz w:val="22"/>
        </w:rPr>
        <w:t>第一条合同当事人</w:t>
      </w:r>
    </w:p>
    <w:p w14:paraId="60E2AF69">
      <w:pPr>
        <w:pStyle w:val="23"/>
        <w:ind w:firstLine="480"/>
        <w:jc w:val="both"/>
        <w:rPr>
          <w:rFonts w:hint="default"/>
        </w:rPr>
      </w:pPr>
      <w:r>
        <w:rPr>
          <w:sz w:val="22"/>
        </w:rPr>
        <w:t>甲  方（采购人）：</w:t>
      </w:r>
    </w:p>
    <w:p w14:paraId="737044C7">
      <w:pPr>
        <w:pStyle w:val="23"/>
        <w:ind w:firstLine="480"/>
        <w:jc w:val="both"/>
        <w:rPr>
          <w:rFonts w:hint="default"/>
        </w:rPr>
      </w:pPr>
      <w:r>
        <w:rPr>
          <w:sz w:val="22"/>
        </w:rPr>
        <w:t>电  话：           传真：        住所：</w:t>
      </w:r>
    </w:p>
    <w:p w14:paraId="350B8D3D">
      <w:pPr>
        <w:pStyle w:val="23"/>
        <w:ind w:firstLine="480"/>
        <w:jc w:val="both"/>
        <w:rPr>
          <w:rFonts w:hint="default"/>
        </w:rPr>
      </w:pPr>
      <w:r>
        <w:rPr>
          <w:sz w:val="22"/>
        </w:rPr>
        <w:t>乙  方（中标人）：</w:t>
      </w:r>
    </w:p>
    <w:p w14:paraId="17363C3F">
      <w:pPr>
        <w:pStyle w:val="23"/>
        <w:ind w:firstLine="480"/>
        <w:jc w:val="both"/>
        <w:rPr>
          <w:rFonts w:hint="default"/>
        </w:rPr>
      </w:pPr>
      <w:r>
        <w:rPr>
          <w:sz w:val="22"/>
        </w:rPr>
        <w:t>电  话：           传真：         住所：</w:t>
      </w:r>
    </w:p>
    <w:p w14:paraId="16B2039F">
      <w:pPr>
        <w:pStyle w:val="23"/>
        <w:ind w:firstLine="480"/>
        <w:jc w:val="both"/>
        <w:rPr>
          <w:rFonts w:hint="default"/>
        </w:rPr>
      </w:pPr>
      <w:r>
        <w:rPr>
          <w:sz w:val="22"/>
        </w:rPr>
        <w:t xml:space="preserve">项目名称：                                 </w:t>
      </w:r>
    </w:p>
    <w:p w14:paraId="4641B038">
      <w:pPr>
        <w:pStyle w:val="23"/>
        <w:ind w:firstLine="440"/>
        <w:jc w:val="both"/>
        <w:rPr>
          <w:rFonts w:hint="default"/>
        </w:rPr>
      </w:pPr>
      <w:r>
        <w:rPr>
          <w:sz w:val="22"/>
        </w:rPr>
        <w:t>根据《中华人民共和国民法典》及“&lt;#项目名称#&gt;”采购文件的要求和采购结果，经甲乙双方协商一致，签订本合同。双方共同遵守如下条款（其他有关合同项目的特定信息由合同附件予以说明，合同附件及本项目的采购文件、响应文件、中标通知书、在实施过程中双方共同签署的补充文件等均为本合同不可分割之一部分）。</w:t>
      </w:r>
    </w:p>
    <w:p w14:paraId="61123CCB">
      <w:pPr>
        <w:pStyle w:val="23"/>
        <w:ind w:firstLine="480"/>
        <w:jc w:val="both"/>
        <w:rPr>
          <w:rFonts w:hint="default"/>
        </w:rPr>
      </w:pPr>
      <w:r>
        <w:rPr>
          <w:b/>
          <w:sz w:val="22"/>
        </w:rPr>
        <w:t>第二条</w:t>
      </w:r>
      <w:r>
        <w:rPr>
          <w:sz w:val="22"/>
        </w:rPr>
        <w:t xml:space="preserve"> 乙方提供服务的受益人为甲方，甲乙双方均应对履行本合同承担相应的责任。</w:t>
      </w:r>
    </w:p>
    <w:p w14:paraId="13B31988">
      <w:pPr>
        <w:pStyle w:val="23"/>
        <w:ind w:firstLine="480"/>
        <w:jc w:val="both"/>
        <w:rPr>
          <w:rFonts w:hint="default"/>
        </w:rPr>
      </w:pPr>
      <w:r>
        <w:rPr>
          <w:b/>
          <w:sz w:val="22"/>
        </w:rPr>
        <w:t>第三条基本情况</w:t>
      </w:r>
    </w:p>
    <w:p w14:paraId="58E72B74">
      <w:pPr>
        <w:pStyle w:val="23"/>
        <w:ind w:firstLine="480"/>
        <w:jc w:val="both"/>
        <w:rPr>
          <w:rFonts w:hint="default"/>
        </w:rPr>
      </w:pPr>
      <w:r>
        <w:rPr>
          <w:sz w:val="22"/>
        </w:rPr>
        <w:t>服务类型：按采购文件“采购需求”的规定。</w:t>
      </w:r>
    </w:p>
    <w:p w14:paraId="7ECB9441">
      <w:pPr>
        <w:pStyle w:val="23"/>
        <w:ind w:firstLine="480"/>
        <w:jc w:val="both"/>
        <w:rPr>
          <w:rFonts w:hint="default"/>
          <w:sz w:val="22"/>
        </w:rPr>
      </w:pPr>
      <w:r>
        <w:rPr>
          <w:sz w:val="22"/>
        </w:rPr>
        <w:t>服务地点：按采购文件“采购需求”的规定。</w:t>
      </w:r>
    </w:p>
    <w:p w14:paraId="02A4F907">
      <w:pPr>
        <w:pStyle w:val="23"/>
        <w:ind w:firstLine="480"/>
        <w:jc w:val="center"/>
        <w:rPr>
          <w:rFonts w:hint="default"/>
        </w:rPr>
      </w:pPr>
      <w:r>
        <w:rPr>
          <w:b/>
          <w:sz w:val="22"/>
        </w:rPr>
        <w:t>二、服务事项</w:t>
      </w:r>
    </w:p>
    <w:p w14:paraId="0DF23147">
      <w:pPr>
        <w:pStyle w:val="23"/>
        <w:ind w:firstLine="480"/>
        <w:jc w:val="both"/>
        <w:rPr>
          <w:rFonts w:hint="default"/>
        </w:rPr>
      </w:pPr>
      <w:r>
        <w:rPr>
          <w:b/>
          <w:sz w:val="22"/>
        </w:rPr>
        <w:t>第四条服务事项</w:t>
      </w:r>
    </w:p>
    <w:p w14:paraId="1F5918F6">
      <w:pPr>
        <w:pStyle w:val="23"/>
        <w:ind w:firstLine="480"/>
        <w:jc w:val="both"/>
        <w:rPr>
          <w:rFonts w:hint="default"/>
        </w:rPr>
      </w:pPr>
      <w:r>
        <w:rPr>
          <w:sz w:val="22"/>
        </w:rPr>
        <w:t>具体事项按采购文件“采购需求”的规定及乙方的投标响应。</w:t>
      </w:r>
    </w:p>
    <w:p w14:paraId="381F4745">
      <w:pPr>
        <w:pStyle w:val="23"/>
        <w:ind w:firstLine="480"/>
        <w:jc w:val="center"/>
        <w:rPr>
          <w:rFonts w:hint="default"/>
        </w:rPr>
      </w:pPr>
      <w:r>
        <w:rPr>
          <w:b/>
          <w:sz w:val="22"/>
        </w:rPr>
        <w:t>三、服务期限</w:t>
      </w:r>
    </w:p>
    <w:p w14:paraId="22FDFADC">
      <w:pPr>
        <w:pStyle w:val="23"/>
        <w:ind w:firstLine="480"/>
        <w:jc w:val="both"/>
        <w:rPr>
          <w:rFonts w:hint="default"/>
        </w:rPr>
      </w:pPr>
      <w:r>
        <w:rPr>
          <w:b/>
          <w:sz w:val="22"/>
        </w:rPr>
        <w:t>第五条服务期限</w:t>
      </w:r>
      <w:r>
        <w:rPr>
          <w:sz w:val="22"/>
        </w:rPr>
        <w:t>：</w:t>
      </w:r>
      <w:r>
        <w:rPr>
          <w:rFonts w:hint="eastAsia"/>
          <w:sz w:val="22"/>
          <w:lang w:val="en-US" w:eastAsia="zh-CN"/>
        </w:rPr>
        <w:t xml:space="preserve">2年，自 </w:t>
      </w:r>
      <w:r>
        <w:rPr>
          <w:sz w:val="22"/>
        </w:rPr>
        <w:t xml:space="preserve">   年</w:t>
      </w:r>
      <w:r>
        <w:rPr>
          <w:rFonts w:hint="eastAsia"/>
          <w:sz w:val="22"/>
          <w:lang w:val="en-US" w:eastAsia="zh-CN"/>
        </w:rPr>
        <w:t xml:space="preserve"> </w:t>
      </w:r>
      <w:r>
        <w:rPr>
          <w:sz w:val="22"/>
        </w:rPr>
        <w:t xml:space="preserve"> 月</w:t>
      </w:r>
      <w:r>
        <w:rPr>
          <w:rFonts w:hint="eastAsia"/>
          <w:sz w:val="22"/>
          <w:lang w:val="en-US" w:eastAsia="zh-CN"/>
        </w:rPr>
        <w:t xml:space="preserve"> </w:t>
      </w:r>
      <w:r>
        <w:rPr>
          <w:sz w:val="22"/>
        </w:rPr>
        <w:t xml:space="preserve"> 日至</w:t>
      </w:r>
      <w:r>
        <w:rPr>
          <w:rFonts w:hint="eastAsia"/>
          <w:sz w:val="22"/>
          <w:lang w:val="en-US" w:eastAsia="zh-CN"/>
        </w:rPr>
        <w:t xml:space="preserve"> </w:t>
      </w:r>
      <w:r>
        <w:rPr>
          <w:sz w:val="22"/>
        </w:rPr>
        <w:t xml:space="preserve">   年</w:t>
      </w:r>
      <w:r>
        <w:rPr>
          <w:rFonts w:hint="eastAsia"/>
          <w:sz w:val="22"/>
          <w:lang w:val="en-US" w:eastAsia="zh-CN"/>
        </w:rPr>
        <w:t xml:space="preserve"> </w:t>
      </w:r>
      <w:r>
        <w:rPr>
          <w:sz w:val="22"/>
        </w:rPr>
        <w:t xml:space="preserve"> 月</w:t>
      </w:r>
      <w:r>
        <w:rPr>
          <w:rFonts w:hint="eastAsia"/>
          <w:sz w:val="22"/>
          <w:lang w:val="en-US" w:eastAsia="zh-CN"/>
        </w:rPr>
        <w:t xml:space="preserve"> </w:t>
      </w:r>
      <w:r>
        <w:rPr>
          <w:sz w:val="22"/>
        </w:rPr>
        <w:t xml:space="preserve"> 日</w:t>
      </w:r>
      <w:r>
        <w:rPr>
          <w:rFonts w:hint="eastAsia"/>
          <w:sz w:val="22"/>
          <w:lang w:val="en-US" w:eastAsia="zh-CN"/>
        </w:rPr>
        <w:t>止</w:t>
      </w:r>
      <w:r>
        <w:rPr>
          <w:sz w:val="22"/>
        </w:rPr>
        <w:t>。（或采购</w:t>
      </w:r>
      <w:r>
        <w:rPr>
          <w:rFonts w:hint="eastAsia"/>
          <w:sz w:val="22"/>
          <w:lang w:val="en-US" w:eastAsia="zh-CN"/>
        </w:rPr>
        <w:t>预算限额</w:t>
      </w:r>
      <w:r>
        <w:rPr>
          <w:sz w:val="22"/>
        </w:rPr>
        <w:t>用完为止，</w:t>
      </w:r>
      <w:r>
        <w:rPr>
          <w:rFonts w:hint="eastAsia"/>
          <w:sz w:val="22"/>
          <w:lang w:val="en-US" w:eastAsia="zh-CN"/>
        </w:rPr>
        <w:t>限额￥999,999，</w:t>
      </w:r>
      <w:r>
        <w:rPr>
          <w:sz w:val="22"/>
        </w:rPr>
        <w:t>以先到的条件为准。）</w:t>
      </w:r>
    </w:p>
    <w:p w14:paraId="048D86C5">
      <w:pPr>
        <w:pStyle w:val="23"/>
        <w:ind w:firstLine="480"/>
        <w:jc w:val="center"/>
        <w:rPr>
          <w:rFonts w:hint="default"/>
        </w:rPr>
      </w:pPr>
      <w:r>
        <w:rPr>
          <w:b/>
          <w:sz w:val="22"/>
        </w:rPr>
        <w:t>四、双方权利义务</w:t>
      </w:r>
    </w:p>
    <w:p w14:paraId="4477D390">
      <w:pPr>
        <w:pStyle w:val="23"/>
        <w:ind w:firstLine="480"/>
        <w:jc w:val="both"/>
        <w:rPr>
          <w:rFonts w:hint="default"/>
        </w:rPr>
      </w:pPr>
      <w:r>
        <w:rPr>
          <w:b/>
          <w:sz w:val="22"/>
        </w:rPr>
        <w:t>第六条甲方权利义务</w:t>
      </w:r>
    </w:p>
    <w:p w14:paraId="43FC044B">
      <w:pPr>
        <w:pStyle w:val="23"/>
        <w:ind w:firstLine="480"/>
        <w:jc w:val="both"/>
        <w:rPr>
          <w:rFonts w:hint="eastAsia" w:eastAsiaTheme="minorEastAsia"/>
          <w:lang w:eastAsia="zh-CN"/>
        </w:rPr>
      </w:pPr>
      <w:r>
        <w:rPr>
          <w:sz w:val="22"/>
        </w:rPr>
        <w:t>（一）代表和维护产权人、使用人的合法权益</w:t>
      </w:r>
      <w:r>
        <w:rPr>
          <w:rFonts w:hint="eastAsia"/>
          <w:sz w:val="22"/>
          <w:lang w:eastAsia="zh-CN"/>
        </w:rPr>
        <w:t>；</w:t>
      </w:r>
    </w:p>
    <w:p w14:paraId="363D87F0">
      <w:pPr>
        <w:pStyle w:val="23"/>
        <w:ind w:firstLine="480"/>
        <w:jc w:val="both"/>
        <w:rPr>
          <w:rFonts w:hint="default"/>
        </w:rPr>
      </w:pPr>
      <w:r>
        <w:rPr>
          <w:sz w:val="22"/>
        </w:rPr>
        <w:t>（二）审定乙方拟定的管理制度和管理服务年度计划，并提出合理化建议，督促乙方健全应有的制度规程、工作规范等；</w:t>
      </w:r>
    </w:p>
    <w:p w14:paraId="7194E218">
      <w:pPr>
        <w:pStyle w:val="23"/>
        <w:ind w:firstLine="480"/>
        <w:jc w:val="both"/>
        <w:rPr>
          <w:rFonts w:hint="default"/>
        </w:rPr>
      </w:pPr>
      <w:r>
        <w:rPr>
          <w:sz w:val="22"/>
        </w:rPr>
        <w:t>（三）检查监督乙方管理工作的实施及制度的执行情况；</w:t>
      </w:r>
    </w:p>
    <w:p w14:paraId="77B29FBD">
      <w:pPr>
        <w:pStyle w:val="23"/>
        <w:ind w:firstLine="480"/>
        <w:jc w:val="both"/>
        <w:rPr>
          <w:rFonts w:hint="default"/>
        </w:rPr>
      </w:pPr>
      <w:r>
        <w:rPr>
          <w:sz w:val="22"/>
        </w:rPr>
        <w:t>（四）负责收集、整理管理所需全部图纸、档案、资料，适时提供给乙方；</w:t>
      </w:r>
    </w:p>
    <w:p w14:paraId="1AA6FA97">
      <w:pPr>
        <w:pStyle w:val="23"/>
        <w:ind w:firstLine="480"/>
        <w:jc w:val="both"/>
        <w:rPr>
          <w:rFonts w:hint="default"/>
        </w:rPr>
      </w:pPr>
      <w:r>
        <w:rPr>
          <w:sz w:val="22"/>
        </w:rPr>
        <w:t>（五）对乙方不称职的工作人员，甲方有权要求乙方限期更换；</w:t>
      </w:r>
    </w:p>
    <w:p w14:paraId="12E8401C">
      <w:pPr>
        <w:pStyle w:val="23"/>
        <w:ind w:firstLine="480"/>
        <w:jc w:val="both"/>
        <w:rPr>
          <w:rFonts w:hint="default"/>
        </w:rPr>
      </w:pPr>
      <w:r>
        <w:rPr>
          <w:sz w:val="22"/>
        </w:rPr>
        <w:t>（六）协助乙方做好管理工作；</w:t>
      </w:r>
    </w:p>
    <w:p w14:paraId="72F0300F">
      <w:pPr>
        <w:pStyle w:val="23"/>
        <w:ind w:firstLine="480"/>
        <w:jc w:val="both"/>
        <w:rPr>
          <w:rFonts w:hint="default"/>
        </w:rPr>
      </w:pPr>
      <w:r>
        <w:rPr>
          <w:sz w:val="22"/>
        </w:rPr>
        <w:t>（七）按时按采购需求的付款方式支付费用给乙方；</w:t>
      </w:r>
    </w:p>
    <w:p w14:paraId="0370B101">
      <w:pPr>
        <w:pStyle w:val="23"/>
        <w:ind w:firstLine="480"/>
        <w:jc w:val="both"/>
        <w:rPr>
          <w:rFonts w:hint="default"/>
        </w:rPr>
      </w:pPr>
      <w:r>
        <w:rPr>
          <w:sz w:val="22"/>
        </w:rPr>
        <w:t>（八）采购文件、响应文件及合同附件中约定的甲方其它权利义务。</w:t>
      </w:r>
    </w:p>
    <w:p w14:paraId="15432917">
      <w:pPr>
        <w:pStyle w:val="23"/>
        <w:ind w:firstLine="480"/>
        <w:jc w:val="both"/>
        <w:rPr>
          <w:rFonts w:hint="default"/>
        </w:rPr>
      </w:pPr>
      <w:r>
        <w:rPr>
          <w:b/>
          <w:sz w:val="22"/>
        </w:rPr>
        <w:t>第七条乙方权利义务</w:t>
      </w:r>
    </w:p>
    <w:p w14:paraId="4C8C13E6">
      <w:pPr>
        <w:pStyle w:val="23"/>
        <w:ind w:firstLine="480"/>
        <w:jc w:val="both"/>
        <w:rPr>
          <w:rFonts w:hint="default"/>
        </w:rPr>
      </w:pPr>
      <w:r>
        <w:rPr>
          <w:sz w:val="22"/>
        </w:rPr>
        <w:t>（一）根据有关法律法规及本合同的约定，制订管理制度，编制管理年度计划，并经甲方审定后实施。</w:t>
      </w:r>
    </w:p>
    <w:p w14:paraId="34E42F67">
      <w:pPr>
        <w:pStyle w:val="23"/>
        <w:ind w:firstLine="480"/>
        <w:jc w:val="both"/>
        <w:rPr>
          <w:rFonts w:hint="default"/>
        </w:rPr>
      </w:pPr>
      <w:r>
        <w:rPr>
          <w:sz w:val="22"/>
        </w:rPr>
        <w:t>（二）未经甲方书面同意，不得将本项目以任何形式分包或转包给乙方（或中标联合体）之外的第三方，如有违反，甲方有权终止与乙方签订的服务合同。并限期乙方在规定的时间内移交服务项目及有关档案资料，同时甲方不予退还履约保证金。</w:t>
      </w:r>
    </w:p>
    <w:p w14:paraId="30FB5BE2">
      <w:pPr>
        <w:pStyle w:val="23"/>
        <w:ind w:firstLine="480"/>
        <w:jc w:val="both"/>
        <w:rPr>
          <w:rFonts w:hint="default"/>
        </w:rPr>
      </w:pPr>
      <w:r>
        <w:rPr>
          <w:sz w:val="22"/>
        </w:rPr>
        <w:t>（三）负责编制管理年度计划。</w:t>
      </w:r>
    </w:p>
    <w:p w14:paraId="3600C24C">
      <w:pPr>
        <w:pStyle w:val="23"/>
        <w:ind w:firstLine="480"/>
        <w:jc w:val="both"/>
        <w:rPr>
          <w:rFonts w:hint="default"/>
        </w:rPr>
      </w:pPr>
      <w:r>
        <w:rPr>
          <w:sz w:val="22"/>
        </w:rPr>
        <w:t>（四）对乙方员工违反法规、规章的行为，有责任告知甲方处理。</w:t>
      </w:r>
    </w:p>
    <w:p w14:paraId="562AA53D">
      <w:pPr>
        <w:pStyle w:val="23"/>
        <w:ind w:firstLine="480"/>
        <w:jc w:val="both"/>
        <w:rPr>
          <w:rFonts w:hint="default"/>
        </w:rPr>
      </w:pPr>
      <w:r>
        <w:rPr>
          <w:sz w:val="22"/>
        </w:rPr>
        <w:t>（五）在服务过程中发生的事故应及时告知甲方；所服务的设施需要维修、保养的，应事先告知甲方。</w:t>
      </w:r>
    </w:p>
    <w:p w14:paraId="3D1207E0">
      <w:pPr>
        <w:pStyle w:val="23"/>
        <w:ind w:firstLine="480"/>
        <w:jc w:val="both"/>
        <w:rPr>
          <w:rFonts w:hint="default"/>
        </w:rPr>
      </w:pPr>
      <w:r>
        <w:rPr>
          <w:sz w:val="22"/>
        </w:rPr>
        <w:t>（六）在服务过程中对无法解决的事项或设施需要维修、保养的，要及时向甲方反映。</w:t>
      </w:r>
    </w:p>
    <w:p w14:paraId="77C4F9BC">
      <w:pPr>
        <w:pStyle w:val="23"/>
        <w:ind w:firstLine="480"/>
        <w:jc w:val="both"/>
        <w:rPr>
          <w:rFonts w:hint="default"/>
        </w:rPr>
      </w:pPr>
      <w:r>
        <w:rPr>
          <w:sz w:val="22"/>
        </w:rPr>
        <w:t>（七）在服务期内，乙方必须做好工作人员所需要的安全教育及安全措施，保证工作人员的安全，乙方工作人员在甲方工作范围内发生事故的一切责任由乙方负责。</w:t>
      </w:r>
    </w:p>
    <w:p w14:paraId="5AAD8793">
      <w:pPr>
        <w:pStyle w:val="23"/>
        <w:ind w:firstLine="480"/>
        <w:jc w:val="both"/>
        <w:rPr>
          <w:rFonts w:hint="default"/>
        </w:rPr>
      </w:pPr>
      <w:r>
        <w:rPr>
          <w:sz w:val="22"/>
        </w:rPr>
        <w:t>（八）乙方的服务人员要有符合国家规定的上岗证，要严格审查，没有刑事犯罪记录，重要岗位人员聘用要经甲方审定。同时，乙方的服务人员须严格按照甲方的医疗流程提供相关服务。</w:t>
      </w:r>
    </w:p>
    <w:p w14:paraId="4E36E9FE">
      <w:pPr>
        <w:pStyle w:val="23"/>
        <w:ind w:firstLine="480"/>
        <w:jc w:val="both"/>
        <w:rPr>
          <w:rFonts w:hint="default"/>
        </w:rPr>
      </w:pPr>
      <w:r>
        <w:rPr>
          <w:sz w:val="22"/>
        </w:rPr>
        <w:t>（九）乙方员工的工资、社会保险等福利,必须符合国家有关规定。</w:t>
      </w:r>
    </w:p>
    <w:p w14:paraId="2BBB9C14">
      <w:pPr>
        <w:pStyle w:val="23"/>
        <w:ind w:firstLine="480"/>
        <w:jc w:val="both"/>
        <w:rPr>
          <w:rFonts w:hint="default"/>
        </w:rPr>
      </w:pPr>
      <w:r>
        <w:rPr>
          <w:sz w:val="22"/>
        </w:rPr>
        <w:t>（十）本合同终止时，乙方必须在甲方要求的时间内及时移交本服务事项，并向甲方移交全部有关档案资料。</w:t>
      </w:r>
    </w:p>
    <w:p w14:paraId="575F66D5">
      <w:pPr>
        <w:pStyle w:val="23"/>
        <w:ind w:firstLine="480"/>
        <w:jc w:val="both"/>
        <w:rPr>
          <w:rFonts w:hint="default"/>
        </w:rPr>
      </w:pPr>
      <w:r>
        <w:rPr>
          <w:sz w:val="22"/>
        </w:rPr>
        <w:t>（十一）采购文件及合同附件中约定的乙方其它权利义务。</w:t>
      </w:r>
    </w:p>
    <w:p w14:paraId="01F8E2BB">
      <w:pPr>
        <w:pStyle w:val="23"/>
        <w:ind w:firstLine="480"/>
        <w:jc w:val="center"/>
        <w:rPr>
          <w:rFonts w:hint="default"/>
        </w:rPr>
      </w:pPr>
      <w:r>
        <w:rPr>
          <w:b/>
          <w:sz w:val="22"/>
        </w:rPr>
        <w:t>五、服务质量</w:t>
      </w:r>
    </w:p>
    <w:p w14:paraId="441EE23F">
      <w:pPr>
        <w:pStyle w:val="23"/>
        <w:ind w:firstLine="480"/>
        <w:jc w:val="both"/>
        <w:rPr>
          <w:rFonts w:hint="default"/>
        </w:rPr>
      </w:pPr>
      <w:r>
        <w:rPr>
          <w:b/>
          <w:sz w:val="22"/>
        </w:rPr>
        <w:t>第八条服务质量要求详见采购文件“采购需求”的规定。</w:t>
      </w:r>
    </w:p>
    <w:p w14:paraId="6FDA5B36">
      <w:pPr>
        <w:pStyle w:val="23"/>
        <w:ind w:firstLine="480"/>
        <w:jc w:val="both"/>
        <w:rPr>
          <w:rFonts w:hint="default"/>
        </w:rPr>
      </w:pPr>
      <w:r>
        <w:rPr>
          <w:b/>
          <w:sz w:val="22"/>
        </w:rPr>
        <w:t>第九条验收标准：</w:t>
      </w:r>
    </w:p>
    <w:p w14:paraId="285069C0">
      <w:pPr>
        <w:pStyle w:val="23"/>
        <w:numPr>
          <w:ilvl w:val="0"/>
          <w:numId w:val="9"/>
        </w:numPr>
        <w:ind w:firstLine="480"/>
        <w:jc w:val="both"/>
        <w:rPr>
          <w:rFonts w:hint="eastAsia" w:asciiTheme="minorHAnsi" w:hAnsiTheme="minorHAnsi" w:eastAsiaTheme="minorEastAsia" w:cstheme="minorBidi"/>
          <w:b/>
          <w:kern w:val="0"/>
          <w:sz w:val="22"/>
          <w:szCs w:val="20"/>
          <w:lang w:val="en-US" w:eastAsia="zh-Hans" w:bidi="ar-SA"/>
        </w:rPr>
      </w:pPr>
      <w:r>
        <w:rPr>
          <w:sz w:val="22"/>
        </w:rPr>
        <w:t>每</w:t>
      </w:r>
      <w:r>
        <w:rPr>
          <w:rFonts w:hint="eastAsia"/>
          <w:sz w:val="22"/>
          <w:lang w:val="en-US" w:eastAsia="zh-CN"/>
        </w:rPr>
        <w:t>月5日前</w:t>
      </w:r>
      <w:r>
        <w:rPr>
          <w:sz w:val="22"/>
        </w:rPr>
        <w:t>，</w:t>
      </w:r>
      <w:r>
        <w:rPr>
          <w:rFonts w:hint="eastAsia"/>
          <w:sz w:val="22"/>
          <w:lang w:val="en-US" w:eastAsia="zh-CN"/>
        </w:rPr>
        <w:t>甲方</w:t>
      </w:r>
      <w:r>
        <w:rPr>
          <w:sz w:val="22"/>
        </w:rPr>
        <w:t>对</w:t>
      </w:r>
      <w:r>
        <w:rPr>
          <w:rFonts w:hint="eastAsia"/>
          <w:sz w:val="22"/>
          <w:szCs w:val="22"/>
          <w:lang w:val="en-US" w:eastAsia="zh-CN"/>
        </w:rPr>
        <w:t>乙方</w:t>
      </w:r>
      <w:r>
        <w:rPr>
          <w:sz w:val="22"/>
        </w:rPr>
        <w:t>上个</w:t>
      </w:r>
      <w:r>
        <w:rPr>
          <w:rFonts w:hint="eastAsia"/>
          <w:sz w:val="22"/>
          <w:lang w:val="en-US" w:eastAsia="zh-CN"/>
        </w:rPr>
        <w:t>月</w:t>
      </w:r>
      <w:r>
        <w:rPr>
          <w:sz w:val="22"/>
        </w:rPr>
        <w:t>度的服务质量进行</w:t>
      </w:r>
      <w:r>
        <w:rPr>
          <w:rFonts w:hint="eastAsia"/>
          <w:sz w:val="22"/>
          <w:lang w:val="en-US" w:eastAsia="zh-CN"/>
        </w:rPr>
        <w:t>月</w:t>
      </w:r>
      <w:r>
        <w:rPr>
          <w:sz w:val="22"/>
        </w:rPr>
        <w:t>度考核</w:t>
      </w:r>
      <w:r>
        <w:rPr>
          <w:rFonts w:hint="eastAsia"/>
          <w:sz w:val="22"/>
          <w:lang w:val="en-US" w:eastAsia="zh-CN"/>
        </w:rPr>
        <w:t>验收</w:t>
      </w:r>
      <w:r>
        <w:rPr>
          <w:sz w:val="22"/>
        </w:rPr>
        <w:t>，考评内容详见</w:t>
      </w:r>
      <w:r>
        <w:rPr>
          <w:rFonts w:hint="eastAsia"/>
          <w:sz w:val="22"/>
          <w:lang w:val="en-US" w:eastAsia="zh-CN"/>
        </w:rPr>
        <w:t>表1</w:t>
      </w:r>
      <w:r>
        <w:rPr>
          <w:sz w:val="22"/>
        </w:rPr>
        <w:t>《</w:t>
      </w:r>
      <w:r>
        <w:rPr>
          <w:rFonts w:hint="eastAsia"/>
          <w:sz w:val="22"/>
        </w:rPr>
        <w:t>广东省工人医院检查检验外送服务质量月度考核表</w:t>
      </w:r>
      <w:r>
        <w:rPr>
          <w:sz w:val="22"/>
        </w:rPr>
        <w:t>》，具体如下：</w:t>
      </w:r>
    </w:p>
    <w:p w14:paraId="4DBBE6CB">
      <w:pPr>
        <w:jc w:val="center"/>
        <w:rPr>
          <w:rFonts w:hint="eastAsia" w:asciiTheme="minorHAnsi" w:hAnsiTheme="minorHAnsi" w:eastAsiaTheme="minorEastAsia" w:cstheme="minorBidi"/>
          <w:b/>
          <w:kern w:val="0"/>
          <w:sz w:val="22"/>
          <w:szCs w:val="20"/>
          <w:lang w:val="en-US" w:eastAsia="zh-Hans" w:bidi="ar-SA"/>
        </w:rPr>
      </w:pPr>
    </w:p>
    <w:p w14:paraId="5E0A0521">
      <w:pPr>
        <w:jc w:val="center"/>
        <w:rPr>
          <w:sz w:val="22"/>
          <w:szCs w:val="22"/>
        </w:rPr>
      </w:pPr>
      <w:r>
        <w:rPr>
          <w:rFonts w:hint="eastAsia" w:asciiTheme="minorHAnsi" w:hAnsiTheme="minorHAnsi" w:eastAsiaTheme="minorEastAsia" w:cstheme="minorBidi"/>
          <w:b/>
          <w:kern w:val="0"/>
          <w:sz w:val="22"/>
          <w:szCs w:val="20"/>
          <w:lang w:val="en-US" w:eastAsia="zh-Hans" w:bidi="ar-SA"/>
        </w:rPr>
        <w:t xml:space="preserve">表1 </w:t>
      </w:r>
      <w:r>
        <w:rPr>
          <w:rFonts w:hint="eastAsia" w:asciiTheme="minorHAnsi" w:hAnsiTheme="minorHAnsi" w:eastAsiaTheme="minorEastAsia" w:cstheme="minorBidi"/>
          <w:b/>
          <w:kern w:val="0"/>
          <w:sz w:val="22"/>
          <w:szCs w:val="20"/>
          <w:lang w:val="en-US" w:eastAsia="zh-CN" w:bidi="ar-SA"/>
        </w:rPr>
        <w:t>广东省工人医院</w:t>
      </w:r>
      <w:r>
        <w:rPr>
          <w:rFonts w:hint="eastAsia" w:asciiTheme="minorHAnsi" w:hAnsiTheme="minorHAnsi" w:eastAsiaTheme="minorEastAsia" w:cstheme="minorBidi"/>
          <w:b/>
          <w:kern w:val="0"/>
          <w:sz w:val="22"/>
          <w:szCs w:val="20"/>
          <w:lang w:val="en-US" w:eastAsia="zh-Hans" w:bidi="ar-SA"/>
        </w:rPr>
        <w:t>车辆租赁服务质量</w:t>
      </w:r>
      <w:r>
        <w:rPr>
          <w:rFonts w:hint="eastAsia" w:asciiTheme="minorHAnsi" w:hAnsiTheme="minorHAnsi" w:eastAsiaTheme="minorEastAsia" w:cstheme="minorBidi"/>
          <w:b/>
          <w:kern w:val="0"/>
          <w:sz w:val="22"/>
          <w:szCs w:val="20"/>
          <w:lang w:val="en-US" w:eastAsia="zh-CN" w:bidi="ar-SA"/>
        </w:rPr>
        <w:t>月</w:t>
      </w:r>
      <w:r>
        <w:rPr>
          <w:rFonts w:hint="eastAsia" w:asciiTheme="minorHAnsi" w:hAnsiTheme="minorHAnsi" w:eastAsiaTheme="minorEastAsia" w:cstheme="minorBidi"/>
          <w:b/>
          <w:kern w:val="0"/>
          <w:sz w:val="22"/>
          <w:szCs w:val="20"/>
          <w:lang w:val="en-US" w:eastAsia="zh-Hans" w:bidi="ar-SA"/>
        </w:rPr>
        <w:t>度考核表</w:t>
      </w:r>
    </w:p>
    <w:tbl>
      <w:tblPr>
        <w:tblStyle w:val="14"/>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4"/>
        <w:gridCol w:w="779"/>
        <w:gridCol w:w="3928"/>
        <w:gridCol w:w="914"/>
        <w:gridCol w:w="1289"/>
        <w:gridCol w:w="839"/>
      </w:tblGrid>
      <w:tr w14:paraId="44A712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single" w:color="000000" w:sz="4" w:space="0"/>
              <w:left w:val="single" w:color="000000" w:sz="4" w:space="0"/>
              <w:bottom w:val="single" w:color="000000" w:sz="4" w:space="0"/>
              <w:right w:val="single" w:color="000000" w:sz="4" w:space="0"/>
            </w:tcBorders>
          </w:tcPr>
          <w:p w14:paraId="294379F4">
            <w:pPr>
              <w:jc w:val="center"/>
              <w:rPr>
                <w:sz w:val="22"/>
                <w:szCs w:val="22"/>
              </w:rPr>
            </w:pPr>
            <w:r>
              <w:rPr>
                <w:sz w:val="22"/>
                <w:szCs w:val="22"/>
              </w:rPr>
              <w:t>序号</w:t>
            </w:r>
          </w:p>
        </w:tc>
        <w:tc>
          <w:tcPr>
            <w:tcW w:w="779" w:type="dxa"/>
            <w:tcBorders>
              <w:top w:val="single" w:color="000000" w:sz="4" w:space="0"/>
              <w:left w:val="nil"/>
              <w:bottom w:val="single" w:color="000000" w:sz="4" w:space="0"/>
              <w:right w:val="single" w:color="000000" w:sz="4" w:space="0"/>
            </w:tcBorders>
          </w:tcPr>
          <w:p w14:paraId="35F92FEC">
            <w:pPr>
              <w:jc w:val="center"/>
              <w:rPr>
                <w:sz w:val="22"/>
                <w:szCs w:val="22"/>
              </w:rPr>
            </w:pPr>
            <w:r>
              <w:rPr>
                <w:sz w:val="22"/>
                <w:szCs w:val="22"/>
              </w:rPr>
              <w:t>一级</w:t>
            </w:r>
          </w:p>
          <w:p w14:paraId="1A9BB2C7">
            <w:pPr>
              <w:jc w:val="center"/>
              <w:rPr>
                <w:sz w:val="22"/>
                <w:szCs w:val="22"/>
              </w:rPr>
            </w:pPr>
            <w:r>
              <w:rPr>
                <w:sz w:val="22"/>
                <w:szCs w:val="22"/>
              </w:rPr>
              <w:t>指标</w:t>
            </w:r>
          </w:p>
        </w:tc>
        <w:tc>
          <w:tcPr>
            <w:tcW w:w="3928" w:type="dxa"/>
            <w:tcBorders>
              <w:top w:val="single" w:color="000000" w:sz="4" w:space="0"/>
              <w:left w:val="nil"/>
              <w:bottom w:val="single" w:color="000000" w:sz="4" w:space="0"/>
              <w:right w:val="single" w:color="000000" w:sz="4" w:space="0"/>
            </w:tcBorders>
          </w:tcPr>
          <w:p w14:paraId="7AB7E3C8">
            <w:pPr>
              <w:jc w:val="center"/>
              <w:rPr>
                <w:sz w:val="22"/>
                <w:szCs w:val="22"/>
              </w:rPr>
            </w:pPr>
            <w:r>
              <w:rPr>
                <w:sz w:val="22"/>
                <w:szCs w:val="22"/>
              </w:rPr>
              <w:t>二级指标</w:t>
            </w:r>
          </w:p>
          <w:p w14:paraId="438C6D61">
            <w:pPr>
              <w:jc w:val="center"/>
              <w:rPr>
                <w:sz w:val="22"/>
                <w:szCs w:val="22"/>
              </w:rPr>
            </w:pPr>
            <w:r>
              <w:rPr>
                <w:sz w:val="22"/>
                <w:szCs w:val="22"/>
              </w:rPr>
              <w:t>项目</w:t>
            </w:r>
          </w:p>
        </w:tc>
        <w:tc>
          <w:tcPr>
            <w:tcW w:w="914" w:type="dxa"/>
            <w:tcBorders>
              <w:top w:val="single" w:color="000000" w:sz="4" w:space="0"/>
              <w:left w:val="nil"/>
              <w:bottom w:val="single" w:color="000000" w:sz="4" w:space="0"/>
              <w:right w:val="single" w:color="000000" w:sz="4" w:space="0"/>
            </w:tcBorders>
          </w:tcPr>
          <w:p w14:paraId="4B771025">
            <w:pPr>
              <w:jc w:val="center"/>
              <w:rPr>
                <w:sz w:val="22"/>
                <w:szCs w:val="22"/>
              </w:rPr>
            </w:pPr>
            <w:r>
              <w:rPr>
                <w:sz w:val="22"/>
                <w:szCs w:val="22"/>
              </w:rPr>
              <w:t>分值</w:t>
            </w:r>
          </w:p>
        </w:tc>
        <w:tc>
          <w:tcPr>
            <w:tcW w:w="1289" w:type="dxa"/>
            <w:tcBorders>
              <w:top w:val="single" w:color="000000" w:sz="4" w:space="0"/>
              <w:left w:val="nil"/>
              <w:bottom w:val="single" w:color="000000" w:sz="4" w:space="0"/>
              <w:right w:val="single" w:color="000000" w:sz="4" w:space="0"/>
            </w:tcBorders>
          </w:tcPr>
          <w:p w14:paraId="5E3C23D7">
            <w:pPr>
              <w:jc w:val="center"/>
              <w:rPr>
                <w:sz w:val="22"/>
                <w:szCs w:val="22"/>
              </w:rPr>
            </w:pPr>
            <w:r>
              <w:rPr>
                <w:sz w:val="22"/>
                <w:szCs w:val="22"/>
              </w:rPr>
              <w:t>扣分理由</w:t>
            </w:r>
          </w:p>
        </w:tc>
        <w:tc>
          <w:tcPr>
            <w:tcW w:w="839" w:type="dxa"/>
            <w:tcBorders>
              <w:top w:val="single" w:color="000000" w:sz="4" w:space="0"/>
              <w:left w:val="nil"/>
              <w:bottom w:val="single" w:color="000000" w:sz="4" w:space="0"/>
              <w:right w:val="single" w:color="000000" w:sz="4" w:space="0"/>
            </w:tcBorders>
          </w:tcPr>
          <w:p w14:paraId="32ED223E">
            <w:pPr>
              <w:jc w:val="center"/>
              <w:rPr>
                <w:sz w:val="22"/>
                <w:szCs w:val="22"/>
              </w:rPr>
            </w:pPr>
            <w:r>
              <w:rPr>
                <w:sz w:val="22"/>
                <w:szCs w:val="22"/>
              </w:rPr>
              <w:t>得分</w:t>
            </w:r>
          </w:p>
        </w:tc>
      </w:tr>
      <w:tr w14:paraId="0D4089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6362468D">
            <w:pPr>
              <w:jc w:val="center"/>
              <w:rPr>
                <w:sz w:val="22"/>
                <w:szCs w:val="22"/>
              </w:rPr>
            </w:pPr>
            <w:r>
              <w:rPr>
                <w:sz w:val="22"/>
                <w:szCs w:val="22"/>
              </w:rPr>
              <w:t>1</w:t>
            </w:r>
          </w:p>
        </w:tc>
        <w:tc>
          <w:tcPr>
            <w:tcW w:w="779" w:type="dxa"/>
            <w:vMerge w:val="restart"/>
            <w:tcBorders>
              <w:top w:val="nil"/>
              <w:left w:val="nil"/>
              <w:bottom w:val="single" w:color="000000" w:sz="4" w:space="0"/>
              <w:right w:val="single" w:color="000000" w:sz="4" w:space="0"/>
            </w:tcBorders>
            <w:vAlign w:val="center"/>
          </w:tcPr>
          <w:p w14:paraId="7D713569">
            <w:pPr>
              <w:jc w:val="center"/>
              <w:rPr>
                <w:sz w:val="22"/>
                <w:szCs w:val="22"/>
              </w:rPr>
            </w:pPr>
            <w:r>
              <w:rPr>
                <w:sz w:val="22"/>
                <w:szCs w:val="22"/>
              </w:rPr>
              <w:t>车辆要求（</w:t>
            </w:r>
            <w:r>
              <w:rPr>
                <w:rFonts w:hint="eastAsia" w:eastAsia="宋体"/>
                <w:sz w:val="22"/>
                <w:szCs w:val="22"/>
                <w:lang w:val="en-US" w:eastAsia="zh-CN"/>
              </w:rPr>
              <w:t>38</w:t>
            </w:r>
            <w:r>
              <w:rPr>
                <w:sz w:val="22"/>
                <w:szCs w:val="22"/>
              </w:rPr>
              <w:t>分）</w:t>
            </w:r>
          </w:p>
        </w:tc>
        <w:tc>
          <w:tcPr>
            <w:tcW w:w="3928" w:type="dxa"/>
            <w:tcBorders>
              <w:top w:val="nil"/>
              <w:left w:val="nil"/>
              <w:bottom w:val="single" w:color="000000" w:sz="4" w:space="0"/>
              <w:right w:val="single" w:color="000000" w:sz="4" w:space="0"/>
            </w:tcBorders>
          </w:tcPr>
          <w:p w14:paraId="596D6B62">
            <w:pPr>
              <w:jc w:val="left"/>
              <w:rPr>
                <w:rFonts w:hint="eastAsia" w:eastAsia="宋体"/>
                <w:sz w:val="22"/>
                <w:szCs w:val="22"/>
                <w:lang w:eastAsia="zh-CN"/>
              </w:rPr>
            </w:pPr>
            <w:r>
              <w:rPr>
                <w:sz w:val="22"/>
                <w:szCs w:val="22"/>
              </w:rPr>
              <w:t>提供服务的大型客车、中型客车</w:t>
            </w:r>
            <w:r>
              <w:rPr>
                <w:rFonts w:hint="eastAsia" w:eastAsia="宋体"/>
                <w:sz w:val="22"/>
                <w:szCs w:val="22"/>
                <w:lang w:val="en-US" w:eastAsia="zh-CN"/>
              </w:rPr>
              <w:t>等</w:t>
            </w:r>
            <w:r>
              <w:rPr>
                <w:sz w:val="22"/>
                <w:szCs w:val="22"/>
              </w:rPr>
              <w:t>为自有</w:t>
            </w:r>
            <w:r>
              <w:rPr>
                <w:rFonts w:hint="eastAsia" w:eastAsia="宋体"/>
                <w:sz w:val="22"/>
                <w:szCs w:val="22"/>
                <w:lang w:val="en-US" w:eastAsia="zh-CN"/>
              </w:rPr>
              <w:t>/集团自有</w:t>
            </w:r>
            <w:r>
              <w:rPr>
                <w:sz w:val="22"/>
                <w:szCs w:val="22"/>
              </w:rPr>
              <w:t>车辆，大型客车</w:t>
            </w:r>
            <w:r>
              <w:rPr>
                <w:rFonts w:hint="eastAsia" w:eastAsia="宋体"/>
                <w:sz w:val="22"/>
                <w:szCs w:val="22"/>
                <w:lang w:val="en-US" w:eastAsia="zh-CN"/>
              </w:rPr>
              <w:t>使用期限3</w:t>
            </w:r>
            <w:r>
              <w:rPr>
                <w:sz w:val="22"/>
                <w:szCs w:val="22"/>
              </w:rPr>
              <w:t>年以内</w:t>
            </w:r>
            <w:r>
              <w:rPr>
                <w:rFonts w:hint="eastAsia" w:eastAsia="宋体"/>
                <w:sz w:val="22"/>
                <w:szCs w:val="22"/>
                <w:lang w:eastAsia="zh-CN"/>
              </w:rPr>
              <w:t>，</w:t>
            </w:r>
            <w:r>
              <w:rPr>
                <w:sz w:val="22"/>
                <w:szCs w:val="22"/>
              </w:rPr>
              <w:t>中型客车</w:t>
            </w:r>
            <w:r>
              <w:rPr>
                <w:rFonts w:hint="eastAsia" w:eastAsia="宋体"/>
                <w:sz w:val="22"/>
                <w:szCs w:val="22"/>
                <w:lang w:val="en-US" w:eastAsia="zh-CN"/>
              </w:rPr>
              <w:t>使用期限4</w:t>
            </w:r>
            <w:r>
              <w:rPr>
                <w:sz w:val="22"/>
                <w:szCs w:val="22"/>
              </w:rPr>
              <w:t>年以内</w:t>
            </w:r>
            <w:r>
              <w:rPr>
                <w:rFonts w:hint="eastAsia" w:eastAsia="宋体"/>
                <w:sz w:val="22"/>
                <w:szCs w:val="22"/>
                <w:lang w:eastAsia="zh-CN"/>
              </w:rPr>
              <w:t>，</w:t>
            </w:r>
            <w:r>
              <w:rPr>
                <w:sz w:val="22"/>
                <w:szCs w:val="22"/>
              </w:rPr>
              <w:t>不得提供教练车、待报废车或其他车辆。</w:t>
            </w:r>
          </w:p>
        </w:tc>
        <w:tc>
          <w:tcPr>
            <w:tcW w:w="914" w:type="dxa"/>
            <w:tcBorders>
              <w:top w:val="nil"/>
              <w:left w:val="nil"/>
              <w:bottom w:val="single" w:color="000000" w:sz="4" w:space="0"/>
              <w:right w:val="single" w:color="000000" w:sz="4" w:space="0"/>
            </w:tcBorders>
            <w:vAlign w:val="center"/>
          </w:tcPr>
          <w:p w14:paraId="62505F96">
            <w:pPr>
              <w:jc w:val="center"/>
              <w:rPr>
                <w:rFonts w:hint="default"/>
                <w:sz w:val="22"/>
                <w:szCs w:val="22"/>
                <w:lang w:val="en-US"/>
              </w:rPr>
            </w:pPr>
            <w:r>
              <w:rPr>
                <w:rFonts w:hint="eastAsia" w:eastAsia="宋体"/>
                <w:sz w:val="22"/>
                <w:szCs w:val="22"/>
                <w:lang w:val="en-US" w:eastAsia="zh-CN"/>
              </w:rPr>
              <w:t>10</w:t>
            </w:r>
          </w:p>
        </w:tc>
        <w:tc>
          <w:tcPr>
            <w:tcW w:w="1289" w:type="dxa"/>
            <w:tcBorders>
              <w:top w:val="nil"/>
              <w:left w:val="nil"/>
              <w:bottom w:val="single" w:color="000000" w:sz="4" w:space="0"/>
              <w:right w:val="single" w:color="000000" w:sz="4" w:space="0"/>
            </w:tcBorders>
          </w:tcPr>
          <w:p w14:paraId="727B4DC6">
            <w:pPr>
              <w:jc w:val="left"/>
              <w:rPr>
                <w:sz w:val="22"/>
                <w:szCs w:val="22"/>
              </w:rPr>
            </w:pPr>
            <w:r>
              <w:rPr>
                <w:sz w:val="22"/>
                <w:szCs w:val="22"/>
              </w:rPr>
              <w:t>服务车辆不符合要求扣</w:t>
            </w:r>
            <w:r>
              <w:rPr>
                <w:rFonts w:hint="eastAsia" w:eastAsia="宋体"/>
                <w:sz w:val="22"/>
                <w:szCs w:val="22"/>
                <w:lang w:val="en-US" w:eastAsia="zh-CN"/>
              </w:rPr>
              <w:t>1</w:t>
            </w:r>
            <w:r>
              <w:rPr>
                <w:sz w:val="22"/>
                <w:szCs w:val="22"/>
              </w:rPr>
              <w:t>0分</w:t>
            </w:r>
          </w:p>
        </w:tc>
        <w:tc>
          <w:tcPr>
            <w:tcW w:w="839" w:type="dxa"/>
            <w:tcBorders>
              <w:top w:val="nil"/>
              <w:left w:val="nil"/>
              <w:bottom w:val="single" w:color="000000" w:sz="4" w:space="0"/>
              <w:right w:val="single" w:color="000000" w:sz="4" w:space="0"/>
            </w:tcBorders>
          </w:tcPr>
          <w:p w14:paraId="63C1C761">
            <w:pPr>
              <w:jc w:val="center"/>
              <w:rPr>
                <w:sz w:val="22"/>
                <w:szCs w:val="22"/>
              </w:rPr>
            </w:pPr>
          </w:p>
        </w:tc>
      </w:tr>
      <w:tr w14:paraId="5C1643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0AB6D143">
            <w:pPr>
              <w:jc w:val="center"/>
              <w:rPr>
                <w:rFonts w:hint="eastAsia" w:eastAsia="宋体"/>
                <w:sz w:val="22"/>
                <w:szCs w:val="22"/>
                <w:lang w:val="en-US" w:eastAsia="zh-CN"/>
              </w:rPr>
            </w:pPr>
            <w:r>
              <w:rPr>
                <w:rFonts w:hint="eastAsia" w:eastAsia="宋体"/>
                <w:sz w:val="22"/>
                <w:szCs w:val="22"/>
                <w:lang w:val="en-US" w:eastAsia="zh-CN"/>
              </w:rPr>
              <w:t>2</w:t>
            </w:r>
          </w:p>
        </w:tc>
        <w:tc>
          <w:tcPr>
            <w:tcW w:w="779" w:type="dxa"/>
            <w:vMerge w:val="continue"/>
            <w:tcBorders>
              <w:left w:val="nil"/>
              <w:right w:val="single" w:color="000000" w:sz="4" w:space="0"/>
            </w:tcBorders>
          </w:tcPr>
          <w:p w14:paraId="1D21D512">
            <w:pPr>
              <w:jc w:val="center"/>
              <w:rPr>
                <w:sz w:val="22"/>
                <w:szCs w:val="22"/>
              </w:rPr>
            </w:pPr>
          </w:p>
        </w:tc>
        <w:tc>
          <w:tcPr>
            <w:tcW w:w="3928" w:type="dxa"/>
            <w:tcBorders>
              <w:top w:val="nil"/>
              <w:left w:val="nil"/>
              <w:bottom w:val="single" w:color="000000" w:sz="4" w:space="0"/>
              <w:right w:val="single" w:color="000000" w:sz="4" w:space="0"/>
            </w:tcBorders>
          </w:tcPr>
          <w:p w14:paraId="2E29388F">
            <w:pPr>
              <w:jc w:val="left"/>
              <w:rPr>
                <w:sz w:val="22"/>
                <w:szCs w:val="22"/>
              </w:rPr>
            </w:pPr>
            <w:r>
              <w:rPr>
                <w:sz w:val="22"/>
                <w:szCs w:val="22"/>
              </w:rPr>
              <w:t>服务车辆必须按《道路运输车辆动态监控管理办法》规定安装卫星定位汽车行驶记录仪。</w:t>
            </w:r>
          </w:p>
        </w:tc>
        <w:tc>
          <w:tcPr>
            <w:tcW w:w="914" w:type="dxa"/>
            <w:tcBorders>
              <w:top w:val="nil"/>
              <w:left w:val="nil"/>
              <w:bottom w:val="single" w:color="000000" w:sz="4" w:space="0"/>
              <w:right w:val="single" w:color="000000" w:sz="4" w:space="0"/>
            </w:tcBorders>
            <w:vAlign w:val="center"/>
          </w:tcPr>
          <w:p w14:paraId="679E6085">
            <w:pPr>
              <w:jc w:val="center"/>
              <w:rPr>
                <w:rFonts w:hint="default" w:eastAsia="宋体"/>
                <w:sz w:val="22"/>
                <w:szCs w:val="22"/>
                <w:lang w:val="en-US" w:eastAsia="zh-CN"/>
              </w:rPr>
            </w:pPr>
            <w:r>
              <w:rPr>
                <w:rFonts w:hint="eastAsia" w:eastAsia="宋体"/>
                <w:sz w:val="22"/>
                <w:szCs w:val="22"/>
                <w:lang w:val="en-US" w:eastAsia="zh-CN"/>
              </w:rPr>
              <w:t>4</w:t>
            </w:r>
          </w:p>
        </w:tc>
        <w:tc>
          <w:tcPr>
            <w:tcW w:w="1289" w:type="dxa"/>
            <w:tcBorders>
              <w:top w:val="nil"/>
              <w:left w:val="nil"/>
              <w:bottom w:val="single" w:color="000000" w:sz="4" w:space="0"/>
              <w:right w:val="single" w:color="000000" w:sz="4" w:space="0"/>
            </w:tcBorders>
            <w:vAlign w:val="top"/>
          </w:tcPr>
          <w:p w14:paraId="0B298549">
            <w:pPr>
              <w:jc w:val="left"/>
              <w:rPr>
                <w:rFonts w:ascii="Arial" w:hAnsi="Arial" w:eastAsia="Arial" w:cs="Arial"/>
                <w:snapToGrid w:val="0"/>
                <w:color w:val="000000"/>
                <w:sz w:val="22"/>
                <w:szCs w:val="22"/>
                <w:lang w:val="en-US" w:eastAsia="zh-CN" w:bidi="ar-SA"/>
              </w:rPr>
            </w:pPr>
            <w:r>
              <w:rPr>
                <w:sz w:val="22"/>
                <w:szCs w:val="22"/>
              </w:rPr>
              <w:t>服务车辆不符合要求扣</w:t>
            </w:r>
            <w:r>
              <w:rPr>
                <w:rFonts w:hint="eastAsia" w:eastAsia="宋体"/>
                <w:sz w:val="22"/>
                <w:szCs w:val="22"/>
                <w:lang w:val="en-US" w:eastAsia="zh-CN"/>
              </w:rPr>
              <w:t>4</w:t>
            </w:r>
            <w:r>
              <w:rPr>
                <w:sz w:val="22"/>
                <w:szCs w:val="22"/>
              </w:rPr>
              <w:t>分</w:t>
            </w:r>
          </w:p>
        </w:tc>
        <w:tc>
          <w:tcPr>
            <w:tcW w:w="839" w:type="dxa"/>
            <w:tcBorders>
              <w:top w:val="nil"/>
              <w:left w:val="nil"/>
              <w:bottom w:val="single" w:color="000000" w:sz="4" w:space="0"/>
              <w:right w:val="single" w:color="000000" w:sz="4" w:space="0"/>
            </w:tcBorders>
          </w:tcPr>
          <w:p w14:paraId="5673C3F0">
            <w:pPr>
              <w:jc w:val="center"/>
              <w:rPr>
                <w:sz w:val="22"/>
                <w:szCs w:val="22"/>
              </w:rPr>
            </w:pPr>
          </w:p>
        </w:tc>
      </w:tr>
      <w:tr w14:paraId="6CFCC4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5377E5AE">
            <w:pPr>
              <w:jc w:val="center"/>
              <w:rPr>
                <w:rFonts w:hint="eastAsia" w:eastAsia="宋体"/>
                <w:sz w:val="22"/>
                <w:szCs w:val="22"/>
                <w:lang w:eastAsia="zh-CN"/>
              </w:rPr>
            </w:pPr>
            <w:r>
              <w:rPr>
                <w:rFonts w:hint="eastAsia" w:eastAsia="宋体"/>
                <w:sz w:val="22"/>
                <w:szCs w:val="22"/>
                <w:lang w:val="en-US" w:eastAsia="zh-CN"/>
              </w:rPr>
              <w:t>3</w:t>
            </w:r>
          </w:p>
        </w:tc>
        <w:tc>
          <w:tcPr>
            <w:tcW w:w="779" w:type="dxa"/>
            <w:vMerge w:val="continue"/>
            <w:tcBorders>
              <w:top w:val="nil"/>
              <w:left w:val="nil"/>
              <w:bottom w:val="single" w:color="000000" w:sz="4" w:space="0"/>
              <w:right w:val="single" w:color="000000" w:sz="4" w:space="0"/>
            </w:tcBorders>
          </w:tcPr>
          <w:p w14:paraId="147FF9BC">
            <w:pPr>
              <w:rPr>
                <w:sz w:val="22"/>
                <w:szCs w:val="22"/>
              </w:rPr>
            </w:pPr>
          </w:p>
        </w:tc>
        <w:tc>
          <w:tcPr>
            <w:tcW w:w="3928" w:type="dxa"/>
            <w:tcBorders>
              <w:top w:val="nil"/>
              <w:left w:val="nil"/>
              <w:bottom w:val="single" w:color="000000" w:sz="4" w:space="0"/>
              <w:right w:val="single" w:color="000000" w:sz="4" w:space="0"/>
            </w:tcBorders>
          </w:tcPr>
          <w:p w14:paraId="44573119">
            <w:pPr>
              <w:jc w:val="left"/>
              <w:rPr>
                <w:sz w:val="22"/>
                <w:szCs w:val="22"/>
              </w:rPr>
            </w:pPr>
            <w:r>
              <w:rPr>
                <w:sz w:val="22"/>
                <w:szCs w:val="22"/>
              </w:rPr>
              <w:t>服务车辆需要符合国家规定的安全、环保等要求，需要配置合格的安全带、安全锤和灭火器材等安全装置。</w:t>
            </w:r>
          </w:p>
        </w:tc>
        <w:tc>
          <w:tcPr>
            <w:tcW w:w="914" w:type="dxa"/>
            <w:tcBorders>
              <w:top w:val="nil"/>
              <w:left w:val="nil"/>
              <w:bottom w:val="single" w:color="000000" w:sz="4" w:space="0"/>
              <w:right w:val="single" w:color="000000" w:sz="4" w:space="0"/>
            </w:tcBorders>
            <w:vAlign w:val="center"/>
          </w:tcPr>
          <w:p w14:paraId="016B52FB">
            <w:pPr>
              <w:jc w:val="center"/>
              <w:rPr>
                <w:rFonts w:hint="default" w:eastAsia="宋体"/>
                <w:sz w:val="22"/>
                <w:szCs w:val="22"/>
                <w:lang w:val="en-US" w:eastAsia="zh-CN"/>
              </w:rPr>
            </w:pPr>
            <w:r>
              <w:rPr>
                <w:rFonts w:hint="eastAsia" w:eastAsia="宋体"/>
                <w:sz w:val="22"/>
                <w:szCs w:val="22"/>
                <w:lang w:val="en-US" w:eastAsia="zh-CN"/>
              </w:rPr>
              <w:t>8</w:t>
            </w:r>
          </w:p>
        </w:tc>
        <w:tc>
          <w:tcPr>
            <w:tcW w:w="1289" w:type="dxa"/>
            <w:tcBorders>
              <w:top w:val="nil"/>
              <w:left w:val="nil"/>
              <w:bottom w:val="single" w:color="000000" w:sz="4" w:space="0"/>
              <w:right w:val="single" w:color="000000" w:sz="4" w:space="0"/>
            </w:tcBorders>
          </w:tcPr>
          <w:p w14:paraId="0ED5BD6A">
            <w:pPr>
              <w:jc w:val="left"/>
              <w:rPr>
                <w:sz w:val="22"/>
                <w:szCs w:val="22"/>
              </w:rPr>
            </w:pPr>
            <w:r>
              <w:rPr>
                <w:sz w:val="22"/>
                <w:szCs w:val="22"/>
              </w:rPr>
              <w:t>服务车辆不符合要求扣</w:t>
            </w:r>
            <w:r>
              <w:rPr>
                <w:rFonts w:hint="eastAsia" w:eastAsia="宋体"/>
                <w:sz w:val="22"/>
                <w:szCs w:val="22"/>
                <w:lang w:val="en-US" w:eastAsia="zh-CN"/>
              </w:rPr>
              <w:t>8</w:t>
            </w:r>
            <w:r>
              <w:rPr>
                <w:sz w:val="22"/>
                <w:szCs w:val="22"/>
              </w:rPr>
              <w:t>分</w:t>
            </w:r>
          </w:p>
        </w:tc>
        <w:tc>
          <w:tcPr>
            <w:tcW w:w="839" w:type="dxa"/>
            <w:tcBorders>
              <w:top w:val="nil"/>
              <w:left w:val="nil"/>
              <w:bottom w:val="single" w:color="000000" w:sz="4" w:space="0"/>
              <w:right w:val="single" w:color="000000" w:sz="4" w:space="0"/>
            </w:tcBorders>
          </w:tcPr>
          <w:p w14:paraId="63EB8E9E">
            <w:pPr>
              <w:jc w:val="center"/>
              <w:rPr>
                <w:sz w:val="22"/>
                <w:szCs w:val="22"/>
              </w:rPr>
            </w:pPr>
          </w:p>
        </w:tc>
      </w:tr>
      <w:tr w14:paraId="3C7327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372BB297">
            <w:pPr>
              <w:jc w:val="center"/>
              <w:rPr>
                <w:rFonts w:hint="eastAsia" w:eastAsia="宋体"/>
                <w:sz w:val="22"/>
                <w:szCs w:val="22"/>
                <w:lang w:eastAsia="zh-CN"/>
              </w:rPr>
            </w:pPr>
            <w:r>
              <w:rPr>
                <w:rFonts w:hint="eastAsia" w:eastAsia="宋体"/>
                <w:sz w:val="22"/>
                <w:szCs w:val="22"/>
                <w:lang w:val="en-US" w:eastAsia="zh-CN"/>
              </w:rPr>
              <w:t>4</w:t>
            </w:r>
          </w:p>
        </w:tc>
        <w:tc>
          <w:tcPr>
            <w:tcW w:w="779" w:type="dxa"/>
            <w:vMerge w:val="continue"/>
            <w:tcBorders>
              <w:top w:val="nil"/>
              <w:left w:val="nil"/>
              <w:bottom w:val="single" w:color="000000" w:sz="4" w:space="0"/>
              <w:right w:val="single" w:color="000000" w:sz="4" w:space="0"/>
            </w:tcBorders>
          </w:tcPr>
          <w:p w14:paraId="76F5609D">
            <w:pPr>
              <w:rPr>
                <w:sz w:val="22"/>
                <w:szCs w:val="22"/>
              </w:rPr>
            </w:pPr>
          </w:p>
        </w:tc>
        <w:tc>
          <w:tcPr>
            <w:tcW w:w="3928" w:type="dxa"/>
            <w:tcBorders>
              <w:top w:val="nil"/>
              <w:left w:val="nil"/>
              <w:bottom w:val="single" w:color="000000" w:sz="4" w:space="0"/>
              <w:right w:val="single" w:color="000000" w:sz="4" w:space="0"/>
            </w:tcBorders>
          </w:tcPr>
          <w:p w14:paraId="2DB7CCA9">
            <w:pPr>
              <w:jc w:val="left"/>
              <w:rPr>
                <w:sz w:val="22"/>
                <w:szCs w:val="22"/>
              </w:rPr>
            </w:pPr>
            <w:r>
              <w:rPr>
                <w:sz w:val="22"/>
                <w:szCs w:val="22"/>
              </w:rPr>
              <w:t>服务车辆必须按照招标文件要求车辆每行驶5000～10000公里需进行保养维修一次。</w:t>
            </w:r>
          </w:p>
        </w:tc>
        <w:tc>
          <w:tcPr>
            <w:tcW w:w="914" w:type="dxa"/>
            <w:tcBorders>
              <w:top w:val="nil"/>
              <w:left w:val="nil"/>
              <w:bottom w:val="single" w:color="000000" w:sz="4" w:space="0"/>
              <w:right w:val="single" w:color="000000" w:sz="4" w:space="0"/>
            </w:tcBorders>
            <w:vAlign w:val="center"/>
          </w:tcPr>
          <w:p w14:paraId="4AB92582">
            <w:pPr>
              <w:jc w:val="center"/>
              <w:rPr>
                <w:rFonts w:hint="default" w:eastAsia="宋体"/>
                <w:sz w:val="22"/>
                <w:szCs w:val="22"/>
                <w:lang w:val="en-US" w:eastAsia="zh-CN"/>
              </w:rPr>
            </w:pPr>
            <w:r>
              <w:rPr>
                <w:rFonts w:hint="eastAsia" w:eastAsia="宋体"/>
                <w:sz w:val="22"/>
                <w:szCs w:val="22"/>
                <w:lang w:val="en-US" w:eastAsia="zh-CN"/>
              </w:rPr>
              <w:t>10</w:t>
            </w:r>
          </w:p>
        </w:tc>
        <w:tc>
          <w:tcPr>
            <w:tcW w:w="1289" w:type="dxa"/>
            <w:tcBorders>
              <w:top w:val="nil"/>
              <w:left w:val="nil"/>
              <w:bottom w:val="single" w:color="000000" w:sz="4" w:space="0"/>
              <w:right w:val="single" w:color="000000" w:sz="4" w:space="0"/>
            </w:tcBorders>
          </w:tcPr>
          <w:p w14:paraId="3A2F0143">
            <w:pPr>
              <w:jc w:val="left"/>
              <w:rPr>
                <w:sz w:val="22"/>
                <w:szCs w:val="22"/>
              </w:rPr>
            </w:pPr>
            <w:r>
              <w:rPr>
                <w:sz w:val="22"/>
                <w:szCs w:val="22"/>
              </w:rPr>
              <w:t>未按要求进行定期保养的扣</w:t>
            </w:r>
            <w:r>
              <w:rPr>
                <w:rFonts w:hint="eastAsia" w:eastAsia="宋体"/>
                <w:sz w:val="22"/>
                <w:szCs w:val="22"/>
                <w:lang w:val="en-US" w:eastAsia="zh-CN"/>
              </w:rPr>
              <w:t>10</w:t>
            </w:r>
            <w:r>
              <w:rPr>
                <w:sz w:val="22"/>
                <w:szCs w:val="22"/>
              </w:rPr>
              <w:t>分</w:t>
            </w:r>
          </w:p>
        </w:tc>
        <w:tc>
          <w:tcPr>
            <w:tcW w:w="839" w:type="dxa"/>
            <w:tcBorders>
              <w:top w:val="nil"/>
              <w:left w:val="nil"/>
              <w:bottom w:val="single" w:color="000000" w:sz="4" w:space="0"/>
              <w:right w:val="single" w:color="000000" w:sz="4" w:space="0"/>
            </w:tcBorders>
          </w:tcPr>
          <w:p w14:paraId="087A0D25">
            <w:pPr>
              <w:jc w:val="center"/>
              <w:rPr>
                <w:sz w:val="22"/>
                <w:szCs w:val="22"/>
              </w:rPr>
            </w:pPr>
          </w:p>
        </w:tc>
      </w:tr>
      <w:tr w14:paraId="68C1E3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554" w:type="dxa"/>
            <w:tcBorders>
              <w:top w:val="nil"/>
              <w:left w:val="single" w:color="000000" w:sz="4" w:space="0"/>
              <w:bottom w:val="single" w:color="000000" w:sz="4" w:space="0"/>
              <w:right w:val="single" w:color="000000" w:sz="4" w:space="0"/>
            </w:tcBorders>
            <w:vAlign w:val="center"/>
          </w:tcPr>
          <w:p w14:paraId="394465CC">
            <w:pPr>
              <w:jc w:val="center"/>
              <w:rPr>
                <w:rFonts w:hint="eastAsia" w:eastAsia="宋体"/>
                <w:sz w:val="22"/>
                <w:szCs w:val="22"/>
                <w:lang w:eastAsia="zh-CN"/>
              </w:rPr>
            </w:pPr>
            <w:r>
              <w:rPr>
                <w:rFonts w:hint="eastAsia" w:eastAsia="宋体"/>
                <w:sz w:val="22"/>
                <w:szCs w:val="22"/>
                <w:lang w:val="en-US" w:eastAsia="zh-CN"/>
              </w:rPr>
              <w:t>5</w:t>
            </w:r>
          </w:p>
        </w:tc>
        <w:tc>
          <w:tcPr>
            <w:tcW w:w="779" w:type="dxa"/>
            <w:vMerge w:val="continue"/>
            <w:tcBorders>
              <w:top w:val="nil"/>
              <w:left w:val="nil"/>
              <w:bottom w:val="single" w:color="000000" w:sz="4" w:space="0"/>
              <w:right w:val="single" w:color="000000" w:sz="4" w:space="0"/>
            </w:tcBorders>
          </w:tcPr>
          <w:p w14:paraId="44A57353">
            <w:pPr>
              <w:rPr>
                <w:sz w:val="22"/>
                <w:szCs w:val="22"/>
              </w:rPr>
            </w:pPr>
          </w:p>
        </w:tc>
        <w:tc>
          <w:tcPr>
            <w:tcW w:w="3928" w:type="dxa"/>
            <w:tcBorders>
              <w:top w:val="nil"/>
              <w:left w:val="nil"/>
              <w:bottom w:val="single" w:color="000000" w:sz="4" w:space="0"/>
              <w:right w:val="single" w:color="000000" w:sz="4" w:space="0"/>
            </w:tcBorders>
          </w:tcPr>
          <w:p w14:paraId="4B2F369F">
            <w:pPr>
              <w:jc w:val="left"/>
              <w:rPr>
                <w:sz w:val="22"/>
                <w:szCs w:val="22"/>
              </w:rPr>
            </w:pPr>
            <w:r>
              <w:rPr>
                <w:sz w:val="22"/>
                <w:szCs w:val="22"/>
              </w:rPr>
              <w:t>服务车辆要做到“三洁”，车头清洁、车身光洁、车厢和座位干净整洁，车内无异味（含“新车味”）、无垃圾、无蟑螂昆虫。</w:t>
            </w:r>
          </w:p>
        </w:tc>
        <w:tc>
          <w:tcPr>
            <w:tcW w:w="914" w:type="dxa"/>
            <w:tcBorders>
              <w:top w:val="nil"/>
              <w:left w:val="nil"/>
              <w:bottom w:val="single" w:color="000000" w:sz="4" w:space="0"/>
              <w:right w:val="single" w:color="000000" w:sz="4" w:space="0"/>
            </w:tcBorders>
            <w:vAlign w:val="center"/>
          </w:tcPr>
          <w:p w14:paraId="59DA8C01">
            <w:pPr>
              <w:jc w:val="center"/>
              <w:rPr>
                <w:rFonts w:hint="default" w:eastAsia="宋体"/>
                <w:sz w:val="22"/>
                <w:szCs w:val="22"/>
                <w:lang w:val="en-US" w:eastAsia="zh-CN"/>
              </w:rPr>
            </w:pPr>
            <w:r>
              <w:rPr>
                <w:rFonts w:hint="eastAsia" w:eastAsia="宋体"/>
                <w:sz w:val="22"/>
                <w:szCs w:val="22"/>
                <w:lang w:val="en-US" w:eastAsia="zh-CN"/>
              </w:rPr>
              <w:t>6</w:t>
            </w:r>
          </w:p>
        </w:tc>
        <w:tc>
          <w:tcPr>
            <w:tcW w:w="1289" w:type="dxa"/>
            <w:tcBorders>
              <w:top w:val="nil"/>
              <w:left w:val="nil"/>
              <w:bottom w:val="single" w:color="000000" w:sz="4" w:space="0"/>
              <w:right w:val="single" w:color="000000" w:sz="4" w:space="0"/>
            </w:tcBorders>
          </w:tcPr>
          <w:p w14:paraId="0F24B28A">
            <w:pPr>
              <w:jc w:val="left"/>
              <w:rPr>
                <w:sz w:val="22"/>
                <w:szCs w:val="22"/>
              </w:rPr>
            </w:pPr>
            <w:r>
              <w:rPr>
                <w:sz w:val="22"/>
                <w:szCs w:val="22"/>
              </w:rPr>
              <w:t>服务车辆出现卫生不达标的，每发现一次扣1分</w:t>
            </w:r>
          </w:p>
        </w:tc>
        <w:tc>
          <w:tcPr>
            <w:tcW w:w="839" w:type="dxa"/>
            <w:tcBorders>
              <w:top w:val="nil"/>
              <w:left w:val="nil"/>
              <w:bottom w:val="single" w:color="000000" w:sz="4" w:space="0"/>
              <w:right w:val="single" w:color="000000" w:sz="4" w:space="0"/>
            </w:tcBorders>
          </w:tcPr>
          <w:p w14:paraId="1466AB67">
            <w:pPr>
              <w:jc w:val="center"/>
              <w:rPr>
                <w:sz w:val="22"/>
                <w:szCs w:val="22"/>
              </w:rPr>
            </w:pPr>
          </w:p>
        </w:tc>
      </w:tr>
      <w:tr w14:paraId="1BA9BA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358C4837">
            <w:pPr>
              <w:jc w:val="center"/>
              <w:rPr>
                <w:rFonts w:hint="eastAsia" w:eastAsia="宋体"/>
                <w:sz w:val="22"/>
                <w:szCs w:val="22"/>
                <w:lang w:eastAsia="zh-CN"/>
              </w:rPr>
            </w:pPr>
            <w:r>
              <w:rPr>
                <w:rFonts w:hint="eastAsia" w:eastAsia="宋体"/>
                <w:sz w:val="22"/>
                <w:szCs w:val="22"/>
                <w:lang w:val="en-US" w:eastAsia="zh-CN"/>
              </w:rPr>
              <w:t>6</w:t>
            </w:r>
          </w:p>
        </w:tc>
        <w:tc>
          <w:tcPr>
            <w:tcW w:w="779" w:type="dxa"/>
            <w:vMerge w:val="restart"/>
            <w:tcBorders>
              <w:top w:val="nil"/>
              <w:left w:val="nil"/>
              <w:bottom w:val="single" w:color="000000" w:sz="4" w:space="0"/>
              <w:right w:val="single" w:color="000000" w:sz="4" w:space="0"/>
            </w:tcBorders>
            <w:vAlign w:val="center"/>
          </w:tcPr>
          <w:p w14:paraId="70C98428">
            <w:pPr>
              <w:jc w:val="center"/>
              <w:rPr>
                <w:sz w:val="22"/>
                <w:szCs w:val="22"/>
              </w:rPr>
            </w:pPr>
            <w:r>
              <w:rPr>
                <w:sz w:val="22"/>
                <w:szCs w:val="22"/>
              </w:rPr>
              <w:t>驾驶员</w:t>
            </w:r>
          </w:p>
          <w:p w14:paraId="4E6093D7">
            <w:pPr>
              <w:jc w:val="center"/>
              <w:rPr>
                <w:sz w:val="22"/>
                <w:szCs w:val="22"/>
              </w:rPr>
            </w:pPr>
            <w:r>
              <w:rPr>
                <w:sz w:val="22"/>
                <w:szCs w:val="22"/>
              </w:rPr>
              <w:t>要求（</w:t>
            </w:r>
            <w:r>
              <w:rPr>
                <w:rFonts w:hint="eastAsia" w:eastAsia="宋体"/>
                <w:sz w:val="22"/>
                <w:szCs w:val="22"/>
                <w:lang w:val="en-US" w:eastAsia="zh-CN"/>
              </w:rPr>
              <w:t>30</w:t>
            </w:r>
            <w:r>
              <w:rPr>
                <w:sz w:val="22"/>
                <w:szCs w:val="22"/>
              </w:rPr>
              <w:t>分）</w:t>
            </w:r>
          </w:p>
        </w:tc>
        <w:tc>
          <w:tcPr>
            <w:tcW w:w="3928" w:type="dxa"/>
            <w:tcBorders>
              <w:top w:val="nil"/>
              <w:left w:val="nil"/>
              <w:bottom w:val="single" w:color="000000" w:sz="4" w:space="0"/>
              <w:right w:val="single" w:color="000000" w:sz="4" w:space="0"/>
            </w:tcBorders>
          </w:tcPr>
          <w:p w14:paraId="25E2BAC8">
            <w:pPr>
              <w:numPr>
                <w:ilvl w:val="0"/>
                <w:numId w:val="0"/>
              </w:numPr>
              <w:jc w:val="left"/>
              <w:rPr>
                <w:sz w:val="22"/>
                <w:szCs w:val="22"/>
              </w:rPr>
            </w:pPr>
            <w:r>
              <w:rPr>
                <w:rFonts w:hint="eastAsia" w:eastAsia="宋体"/>
                <w:sz w:val="22"/>
                <w:szCs w:val="22"/>
                <w:lang w:val="en-US" w:eastAsia="zh-CN"/>
              </w:rPr>
              <w:t>1.</w:t>
            </w:r>
            <w:r>
              <w:rPr>
                <w:sz w:val="22"/>
                <w:szCs w:val="22"/>
              </w:rPr>
              <w:t>驾驶员遵守《道路运输从业人员管理规定》</w:t>
            </w:r>
            <w:r>
              <w:rPr>
                <w:rFonts w:hint="eastAsia" w:eastAsia="宋体"/>
                <w:sz w:val="22"/>
                <w:szCs w:val="22"/>
                <w:lang w:eastAsia="zh-CN"/>
              </w:rPr>
              <w:t>，</w:t>
            </w:r>
            <w:r>
              <w:rPr>
                <w:sz w:val="22"/>
                <w:szCs w:val="22"/>
              </w:rPr>
              <w:t>按规定取得客运从业资格证；</w:t>
            </w:r>
          </w:p>
          <w:p w14:paraId="25118E23">
            <w:pPr>
              <w:numPr>
                <w:ilvl w:val="0"/>
                <w:numId w:val="0"/>
              </w:numPr>
              <w:jc w:val="left"/>
              <w:rPr>
                <w:sz w:val="22"/>
                <w:szCs w:val="22"/>
              </w:rPr>
            </w:pPr>
            <w:r>
              <w:rPr>
                <w:sz w:val="22"/>
                <w:szCs w:val="22"/>
              </w:rPr>
              <w:t>2.驾驶员应持有A1</w:t>
            </w:r>
            <w:r>
              <w:rPr>
                <w:rFonts w:hint="eastAsia"/>
                <w:sz w:val="22"/>
                <w:szCs w:val="22"/>
              </w:rPr>
              <w:t>（载客20人以上的</w:t>
            </w:r>
            <w:r>
              <w:rPr>
                <w:rFonts w:hint="eastAsia" w:eastAsia="宋体"/>
                <w:sz w:val="22"/>
                <w:szCs w:val="22"/>
                <w:lang w:val="en-US" w:eastAsia="zh-CN"/>
              </w:rPr>
              <w:t>大型客车</w:t>
            </w:r>
            <w:r>
              <w:rPr>
                <w:rFonts w:hint="eastAsia"/>
                <w:sz w:val="22"/>
                <w:szCs w:val="22"/>
              </w:rPr>
              <w:t>）</w:t>
            </w:r>
            <w:r>
              <w:rPr>
                <w:rFonts w:hint="eastAsia" w:eastAsia="宋体"/>
                <w:sz w:val="22"/>
                <w:szCs w:val="22"/>
                <w:lang w:val="en-US" w:eastAsia="zh-CN"/>
              </w:rPr>
              <w:t>/</w:t>
            </w:r>
            <w:r>
              <w:rPr>
                <w:rFonts w:hint="eastAsia" w:eastAsia="宋体"/>
                <w:sz w:val="22"/>
                <w:szCs w:val="22"/>
                <w:lang w:eastAsia="zh-CN"/>
              </w:rPr>
              <w:t>B1（载客10</w:t>
            </w:r>
            <w:r>
              <w:rPr>
                <w:rFonts w:hint="eastAsia" w:eastAsia="宋体"/>
                <w:sz w:val="22"/>
                <w:szCs w:val="22"/>
                <w:lang w:val="en-US" w:eastAsia="zh-CN"/>
              </w:rPr>
              <w:t>-</w:t>
            </w:r>
            <w:r>
              <w:rPr>
                <w:rFonts w:hint="eastAsia" w:eastAsia="宋体"/>
                <w:sz w:val="22"/>
                <w:szCs w:val="22"/>
                <w:lang w:eastAsia="zh-CN"/>
              </w:rPr>
              <w:t>19人的中型客车）</w:t>
            </w:r>
            <w:r>
              <w:rPr>
                <w:rFonts w:hint="eastAsia" w:eastAsia="宋体"/>
                <w:sz w:val="22"/>
                <w:szCs w:val="22"/>
                <w:lang w:val="en-US" w:eastAsia="zh-CN"/>
              </w:rPr>
              <w:t>/</w:t>
            </w:r>
            <w:r>
              <w:rPr>
                <w:rFonts w:hint="eastAsia" w:eastAsia="宋体"/>
                <w:sz w:val="22"/>
                <w:szCs w:val="22"/>
                <w:lang w:eastAsia="zh-CN"/>
              </w:rPr>
              <w:t>C1（小型、微型载客汽车）。</w:t>
            </w:r>
            <w:r>
              <w:rPr>
                <w:rFonts w:hint="eastAsia" w:eastAsia="宋体"/>
                <w:sz w:val="22"/>
                <w:szCs w:val="22"/>
                <w:lang w:val="en-US" w:eastAsia="zh-CN"/>
              </w:rPr>
              <w:t>以上</w:t>
            </w:r>
            <w:r>
              <w:rPr>
                <w:sz w:val="22"/>
                <w:szCs w:val="22"/>
              </w:rPr>
              <w:t>驾驶证；</w:t>
            </w:r>
          </w:p>
          <w:p w14:paraId="01692F0A">
            <w:pPr>
              <w:numPr>
                <w:ilvl w:val="0"/>
                <w:numId w:val="0"/>
              </w:numPr>
              <w:jc w:val="left"/>
              <w:rPr>
                <w:sz w:val="22"/>
                <w:szCs w:val="22"/>
              </w:rPr>
            </w:pPr>
            <w:r>
              <w:rPr>
                <w:sz w:val="22"/>
                <w:szCs w:val="22"/>
              </w:rPr>
              <w:t>3.驾驶员3年内无重大及以上交通责任事故记录；</w:t>
            </w:r>
          </w:p>
          <w:p w14:paraId="66686C14">
            <w:pPr>
              <w:numPr>
                <w:ilvl w:val="0"/>
                <w:numId w:val="0"/>
              </w:numPr>
              <w:jc w:val="left"/>
              <w:rPr>
                <w:sz w:val="22"/>
                <w:szCs w:val="22"/>
              </w:rPr>
            </w:pPr>
            <w:r>
              <w:rPr>
                <w:sz w:val="22"/>
                <w:szCs w:val="22"/>
              </w:rPr>
              <w:t>4.驾驶员年龄在55周岁</w:t>
            </w:r>
            <w:r>
              <w:rPr>
                <w:rFonts w:hint="eastAsia" w:eastAsia="宋体"/>
                <w:sz w:val="22"/>
                <w:szCs w:val="22"/>
                <w:lang w:val="en-US" w:eastAsia="zh-CN"/>
              </w:rPr>
              <w:t>以下</w:t>
            </w:r>
            <w:r>
              <w:rPr>
                <w:sz w:val="22"/>
                <w:szCs w:val="22"/>
              </w:rPr>
              <w:t>。</w:t>
            </w:r>
          </w:p>
        </w:tc>
        <w:tc>
          <w:tcPr>
            <w:tcW w:w="914" w:type="dxa"/>
            <w:tcBorders>
              <w:top w:val="nil"/>
              <w:left w:val="nil"/>
              <w:bottom w:val="single" w:color="000000" w:sz="4" w:space="0"/>
              <w:right w:val="single" w:color="000000" w:sz="4" w:space="0"/>
            </w:tcBorders>
            <w:vAlign w:val="center"/>
          </w:tcPr>
          <w:p w14:paraId="5B4D02AC">
            <w:pPr>
              <w:jc w:val="center"/>
              <w:rPr>
                <w:rFonts w:hint="default" w:eastAsia="宋体"/>
                <w:sz w:val="22"/>
                <w:szCs w:val="22"/>
                <w:lang w:val="en-US" w:eastAsia="zh-CN"/>
              </w:rPr>
            </w:pPr>
            <w:r>
              <w:rPr>
                <w:rFonts w:hint="eastAsia" w:eastAsia="宋体"/>
                <w:sz w:val="22"/>
                <w:szCs w:val="22"/>
                <w:lang w:val="en-US" w:eastAsia="zh-CN"/>
              </w:rPr>
              <w:t>12</w:t>
            </w:r>
          </w:p>
        </w:tc>
        <w:tc>
          <w:tcPr>
            <w:tcW w:w="1289" w:type="dxa"/>
            <w:tcBorders>
              <w:top w:val="nil"/>
              <w:left w:val="nil"/>
              <w:bottom w:val="single" w:color="000000" w:sz="4" w:space="0"/>
              <w:right w:val="single" w:color="000000" w:sz="4" w:space="0"/>
            </w:tcBorders>
          </w:tcPr>
          <w:p w14:paraId="04CA5D39">
            <w:pPr>
              <w:jc w:val="left"/>
              <w:rPr>
                <w:sz w:val="22"/>
                <w:szCs w:val="22"/>
              </w:rPr>
            </w:pPr>
            <w:r>
              <w:rPr>
                <w:sz w:val="22"/>
                <w:szCs w:val="22"/>
              </w:rPr>
              <w:t>1项不符合要求扣</w:t>
            </w:r>
            <w:r>
              <w:rPr>
                <w:rFonts w:hint="eastAsia" w:eastAsia="宋体"/>
                <w:sz w:val="22"/>
                <w:szCs w:val="22"/>
                <w:lang w:val="en-US" w:eastAsia="zh-CN"/>
              </w:rPr>
              <w:t>3</w:t>
            </w:r>
            <w:r>
              <w:rPr>
                <w:sz w:val="22"/>
                <w:szCs w:val="22"/>
              </w:rPr>
              <w:t>分</w:t>
            </w:r>
          </w:p>
        </w:tc>
        <w:tc>
          <w:tcPr>
            <w:tcW w:w="839" w:type="dxa"/>
            <w:tcBorders>
              <w:top w:val="nil"/>
              <w:left w:val="nil"/>
              <w:bottom w:val="single" w:color="000000" w:sz="4" w:space="0"/>
              <w:right w:val="single" w:color="000000" w:sz="4" w:space="0"/>
            </w:tcBorders>
          </w:tcPr>
          <w:p w14:paraId="6A68CBA2">
            <w:pPr>
              <w:jc w:val="center"/>
              <w:rPr>
                <w:sz w:val="22"/>
                <w:szCs w:val="22"/>
              </w:rPr>
            </w:pPr>
          </w:p>
        </w:tc>
      </w:tr>
      <w:tr w14:paraId="44F023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431BEB2F">
            <w:pPr>
              <w:jc w:val="center"/>
              <w:rPr>
                <w:rFonts w:hint="eastAsia" w:eastAsia="宋体"/>
                <w:sz w:val="22"/>
                <w:szCs w:val="22"/>
                <w:lang w:eastAsia="zh-CN"/>
              </w:rPr>
            </w:pPr>
            <w:r>
              <w:rPr>
                <w:rFonts w:hint="eastAsia" w:eastAsia="宋体"/>
                <w:sz w:val="22"/>
                <w:szCs w:val="22"/>
                <w:lang w:val="en-US" w:eastAsia="zh-CN"/>
              </w:rPr>
              <w:t>7</w:t>
            </w:r>
          </w:p>
        </w:tc>
        <w:tc>
          <w:tcPr>
            <w:tcW w:w="779" w:type="dxa"/>
            <w:vMerge w:val="continue"/>
            <w:tcBorders>
              <w:top w:val="nil"/>
              <w:left w:val="nil"/>
              <w:bottom w:val="single" w:color="000000" w:sz="4" w:space="0"/>
              <w:right w:val="single" w:color="000000" w:sz="4" w:space="0"/>
            </w:tcBorders>
          </w:tcPr>
          <w:p w14:paraId="3E9109E0">
            <w:pPr>
              <w:rPr>
                <w:sz w:val="22"/>
                <w:szCs w:val="22"/>
              </w:rPr>
            </w:pPr>
          </w:p>
        </w:tc>
        <w:tc>
          <w:tcPr>
            <w:tcW w:w="3928" w:type="dxa"/>
            <w:tcBorders>
              <w:top w:val="nil"/>
              <w:left w:val="nil"/>
              <w:bottom w:val="single" w:color="000000" w:sz="4" w:space="0"/>
              <w:right w:val="single" w:color="000000" w:sz="4" w:space="0"/>
            </w:tcBorders>
          </w:tcPr>
          <w:p w14:paraId="6F447E56">
            <w:pPr>
              <w:jc w:val="left"/>
              <w:rPr>
                <w:sz w:val="22"/>
                <w:szCs w:val="22"/>
              </w:rPr>
            </w:pPr>
            <w:r>
              <w:rPr>
                <w:sz w:val="22"/>
                <w:szCs w:val="22"/>
              </w:rPr>
              <w:t>提供服务的驾驶员不得为转包人员，必须为直接与成交供应商签订劳动合同的合法劳务人员。</w:t>
            </w:r>
          </w:p>
        </w:tc>
        <w:tc>
          <w:tcPr>
            <w:tcW w:w="914" w:type="dxa"/>
            <w:tcBorders>
              <w:top w:val="nil"/>
              <w:left w:val="nil"/>
              <w:bottom w:val="single" w:color="000000" w:sz="4" w:space="0"/>
              <w:right w:val="single" w:color="000000" w:sz="4" w:space="0"/>
            </w:tcBorders>
            <w:vAlign w:val="center"/>
          </w:tcPr>
          <w:p w14:paraId="00348E1A">
            <w:pPr>
              <w:jc w:val="center"/>
              <w:rPr>
                <w:rFonts w:hint="eastAsia" w:eastAsia="宋体"/>
                <w:sz w:val="22"/>
                <w:szCs w:val="22"/>
                <w:lang w:eastAsia="zh-CN"/>
              </w:rPr>
            </w:pPr>
            <w:r>
              <w:rPr>
                <w:rFonts w:hint="eastAsia" w:eastAsia="宋体"/>
                <w:sz w:val="22"/>
                <w:szCs w:val="22"/>
                <w:lang w:val="en-US" w:eastAsia="zh-CN"/>
              </w:rPr>
              <w:t>5</w:t>
            </w:r>
          </w:p>
        </w:tc>
        <w:tc>
          <w:tcPr>
            <w:tcW w:w="1289" w:type="dxa"/>
            <w:tcBorders>
              <w:top w:val="nil"/>
              <w:left w:val="nil"/>
              <w:bottom w:val="single" w:color="000000" w:sz="4" w:space="0"/>
              <w:right w:val="single" w:color="000000" w:sz="4" w:space="0"/>
            </w:tcBorders>
          </w:tcPr>
          <w:p w14:paraId="7AB1DC82">
            <w:pPr>
              <w:jc w:val="left"/>
              <w:rPr>
                <w:sz w:val="22"/>
                <w:szCs w:val="22"/>
              </w:rPr>
            </w:pPr>
            <w:r>
              <w:rPr>
                <w:sz w:val="22"/>
                <w:szCs w:val="22"/>
              </w:rPr>
              <w:t>不符合要求扣</w:t>
            </w:r>
            <w:r>
              <w:rPr>
                <w:rFonts w:hint="eastAsia" w:eastAsia="宋体"/>
                <w:sz w:val="22"/>
                <w:szCs w:val="22"/>
                <w:lang w:val="en-US" w:eastAsia="zh-CN"/>
              </w:rPr>
              <w:t>5</w:t>
            </w:r>
            <w:r>
              <w:rPr>
                <w:sz w:val="22"/>
                <w:szCs w:val="22"/>
              </w:rPr>
              <w:t>分</w:t>
            </w:r>
          </w:p>
        </w:tc>
        <w:tc>
          <w:tcPr>
            <w:tcW w:w="839" w:type="dxa"/>
            <w:tcBorders>
              <w:top w:val="nil"/>
              <w:left w:val="nil"/>
              <w:bottom w:val="single" w:color="000000" w:sz="4" w:space="0"/>
              <w:right w:val="single" w:color="000000" w:sz="4" w:space="0"/>
            </w:tcBorders>
          </w:tcPr>
          <w:p w14:paraId="055C0413">
            <w:pPr>
              <w:jc w:val="center"/>
              <w:rPr>
                <w:sz w:val="22"/>
                <w:szCs w:val="22"/>
              </w:rPr>
            </w:pPr>
          </w:p>
        </w:tc>
      </w:tr>
      <w:tr w14:paraId="3AA4A8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4282FFD2">
            <w:pPr>
              <w:jc w:val="center"/>
              <w:rPr>
                <w:rFonts w:hint="eastAsia" w:eastAsia="宋体"/>
                <w:sz w:val="22"/>
                <w:szCs w:val="22"/>
                <w:lang w:eastAsia="zh-CN"/>
              </w:rPr>
            </w:pPr>
            <w:r>
              <w:rPr>
                <w:rFonts w:hint="eastAsia" w:eastAsia="宋体"/>
                <w:sz w:val="22"/>
                <w:szCs w:val="22"/>
                <w:lang w:val="en-US" w:eastAsia="zh-CN"/>
              </w:rPr>
              <w:t>8</w:t>
            </w:r>
          </w:p>
        </w:tc>
        <w:tc>
          <w:tcPr>
            <w:tcW w:w="779" w:type="dxa"/>
            <w:vMerge w:val="continue"/>
            <w:tcBorders>
              <w:top w:val="nil"/>
              <w:left w:val="nil"/>
              <w:bottom w:val="single" w:color="000000" w:sz="4" w:space="0"/>
              <w:right w:val="single" w:color="000000" w:sz="4" w:space="0"/>
            </w:tcBorders>
          </w:tcPr>
          <w:p w14:paraId="446EA9C6">
            <w:pPr>
              <w:rPr>
                <w:sz w:val="22"/>
                <w:szCs w:val="22"/>
              </w:rPr>
            </w:pPr>
          </w:p>
        </w:tc>
        <w:tc>
          <w:tcPr>
            <w:tcW w:w="3928" w:type="dxa"/>
            <w:tcBorders>
              <w:top w:val="nil"/>
              <w:left w:val="nil"/>
              <w:bottom w:val="single" w:color="000000" w:sz="4" w:space="0"/>
              <w:right w:val="single" w:color="000000" w:sz="4" w:space="0"/>
            </w:tcBorders>
          </w:tcPr>
          <w:p w14:paraId="1674395F">
            <w:pPr>
              <w:jc w:val="left"/>
              <w:rPr>
                <w:sz w:val="22"/>
                <w:szCs w:val="22"/>
              </w:rPr>
            </w:pPr>
            <w:r>
              <w:rPr>
                <w:sz w:val="22"/>
                <w:szCs w:val="22"/>
              </w:rPr>
              <w:t>驾驶员服务</w:t>
            </w:r>
          </w:p>
        </w:tc>
        <w:tc>
          <w:tcPr>
            <w:tcW w:w="914" w:type="dxa"/>
            <w:tcBorders>
              <w:top w:val="nil"/>
              <w:left w:val="nil"/>
              <w:bottom w:val="single" w:color="000000" w:sz="4" w:space="0"/>
              <w:right w:val="single" w:color="000000" w:sz="4" w:space="0"/>
            </w:tcBorders>
            <w:vAlign w:val="center"/>
          </w:tcPr>
          <w:p w14:paraId="3810AC6F">
            <w:pPr>
              <w:jc w:val="center"/>
              <w:rPr>
                <w:rFonts w:hint="default" w:eastAsia="宋体"/>
                <w:sz w:val="22"/>
                <w:szCs w:val="22"/>
                <w:lang w:val="en-US" w:eastAsia="zh-CN"/>
              </w:rPr>
            </w:pPr>
            <w:r>
              <w:rPr>
                <w:rFonts w:hint="eastAsia" w:eastAsia="宋体"/>
                <w:sz w:val="22"/>
                <w:szCs w:val="22"/>
                <w:lang w:val="en-US" w:eastAsia="zh-CN"/>
              </w:rPr>
              <w:t>8</w:t>
            </w:r>
          </w:p>
        </w:tc>
        <w:tc>
          <w:tcPr>
            <w:tcW w:w="1289" w:type="dxa"/>
            <w:tcBorders>
              <w:top w:val="nil"/>
              <w:left w:val="nil"/>
              <w:bottom w:val="single" w:color="000000" w:sz="4" w:space="0"/>
              <w:right w:val="single" w:color="000000" w:sz="4" w:space="0"/>
            </w:tcBorders>
          </w:tcPr>
          <w:p w14:paraId="794D9D10">
            <w:pPr>
              <w:jc w:val="left"/>
              <w:rPr>
                <w:sz w:val="22"/>
                <w:szCs w:val="22"/>
              </w:rPr>
            </w:pPr>
            <w:r>
              <w:rPr>
                <w:sz w:val="22"/>
                <w:szCs w:val="22"/>
              </w:rPr>
              <w:t>因驾驶员服务态度不佳而被投诉的</w:t>
            </w:r>
            <w:r>
              <w:rPr>
                <w:rFonts w:hint="eastAsia" w:eastAsia="宋体"/>
                <w:sz w:val="22"/>
                <w:szCs w:val="22"/>
                <w:lang w:eastAsia="zh-CN"/>
              </w:rPr>
              <w:t>，</w:t>
            </w:r>
            <w:r>
              <w:rPr>
                <w:rFonts w:hint="eastAsia" w:eastAsia="宋体"/>
                <w:sz w:val="22"/>
                <w:szCs w:val="22"/>
                <w:lang w:val="en-US" w:eastAsia="zh-CN"/>
              </w:rPr>
              <w:t>每</w:t>
            </w:r>
            <w:r>
              <w:rPr>
                <w:sz w:val="22"/>
                <w:szCs w:val="22"/>
              </w:rPr>
              <w:t>投诉</w:t>
            </w:r>
            <w:r>
              <w:rPr>
                <w:rFonts w:hint="eastAsia" w:eastAsia="宋体"/>
                <w:sz w:val="22"/>
                <w:szCs w:val="22"/>
                <w:lang w:val="en-US" w:eastAsia="zh-CN"/>
              </w:rPr>
              <w:t>一次</w:t>
            </w:r>
            <w:r>
              <w:rPr>
                <w:sz w:val="22"/>
                <w:szCs w:val="22"/>
              </w:rPr>
              <w:t>扣</w:t>
            </w:r>
            <w:r>
              <w:rPr>
                <w:rFonts w:hint="eastAsia" w:eastAsia="宋体"/>
                <w:sz w:val="22"/>
                <w:szCs w:val="22"/>
                <w:lang w:val="en-US" w:eastAsia="zh-CN"/>
              </w:rPr>
              <w:t>2</w:t>
            </w:r>
            <w:r>
              <w:rPr>
                <w:sz w:val="22"/>
                <w:szCs w:val="22"/>
              </w:rPr>
              <w:t>分</w:t>
            </w:r>
          </w:p>
        </w:tc>
        <w:tc>
          <w:tcPr>
            <w:tcW w:w="839" w:type="dxa"/>
            <w:tcBorders>
              <w:top w:val="nil"/>
              <w:left w:val="nil"/>
              <w:bottom w:val="single" w:color="000000" w:sz="4" w:space="0"/>
              <w:right w:val="single" w:color="000000" w:sz="4" w:space="0"/>
            </w:tcBorders>
          </w:tcPr>
          <w:p w14:paraId="0CD49543">
            <w:pPr>
              <w:jc w:val="center"/>
              <w:rPr>
                <w:sz w:val="22"/>
                <w:szCs w:val="22"/>
              </w:rPr>
            </w:pPr>
          </w:p>
        </w:tc>
      </w:tr>
      <w:tr w14:paraId="6703AA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58A514D3">
            <w:pPr>
              <w:jc w:val="center"/>
              <w:rPr>
                <w:rFonts w:hint="eastAsia" w:eastAsia="宋体"/>
                <w:sz w:val="22"/>
                <w:szCs w:val="22"/>
                <w:lang w:eastAsia="zh-CN"/>
              </w:rPr>
            </w:pPr>
            <w:r>
              <w:rPr>
                <w:rFonts w:hint="eastAsia" w:eastAsia="宋体"/>
                <w:sz w:val="22"/>
                <w:szCs w:val="22"/>
                <w:lang w:val="en-US" w:eastAsia="zh-CN"/>
              </w:rPr>
              <w:t>9</w:t>
            </w:r>
          </w:p>
        </w:tc>
        <w:tc>
          <w:tcPr>
            <w:tcW w:w="779" w:type="dxa"/>
            <w:vMerge w:val="continue"/>
            <w:tcBorders>
              <w:top w:val="nil"/>
              <w:left w:val="nil"/>
              <w:bottom w:val="single" w:color="000000" w:sz="4" w:space="0"/>
              <w:right w:val="single" w:color="000000" w:sz="4" w:space="0"/>
            </w:tcBorders>
          </w:tcPr>
          <w:p w14:paraId="66D5F98A">
            <w:pPr>
              <w:rPr>
                <w:sz w:val="22"/>
                <w:szCs w:val="22"/>
              </w:rPr>
            </w:pPr>
          </w:p>
        </w:tc>
        <w:tc>
          <w:tcPr>
            <w:tcW w:w="3928" w:type="dxa"/>
            <w:tcBorders>
              <w:top w:val="nil"/>
              <w:left w:val="nil"/>
              <w:bottom w:val="single" w:color="000000" w:sz="4" w:space="0"/>
              <w:right w:val="single" w:color="000000" w:sz="4" w:space="0"/>
            </w:tcBorders>
          </w:tcPr>
          <w:p w14:paraId="0951061C">
            <w:pPr>
              <w:jc w:val="left"/>
              <w:rPr>
                <w:sz w:val="22"/>
                <w:szCs w:val="22"/>
              </w:rPr>
            </w:pPr>
            <w:r>
              <w:rPr>
                <w:sz w:val="22"/>
                <w:szCs w:val="22"/>
              </w:rPr>
              <w:t>驾驶员应遵守采购人相关规章制度</w:t>
            </w:r>
          </w:p>
        </w:tc>
        <w:tc>
          <w:tcPr>
            <w:tcW w:w="914" w:type="dxa"/>
            <w:tcBorders>
              <w:top w:val="nil"/>
              <w:left w:val="nil"/>
              <w:bottom w:val="single" w:color="000000" w:sz="4" w:space="0"/>
              <w:right w:val="single" w:color="000000" w:sz="4" w:space="0"/>
            </w:tcBorders>
            <w:vAlign w:val="center"/>
          </w:tcPr>
          <w:p w14:paraId="3B5C805D">
            <w:pPr>
              <w:jc w:val="center"/>
              <w:rPr>
                <w:rFonts w:hint="default" w:eastAsia="宋体"/>
                <w:sz w:val="22"/>
                <w:szCs w:val="22"/>
                <w:lang w:val="en-US" w:eastAsia="zh-CN"/>
              </w:rPr>
            </w:pPr>
            <w:r>
              <w:rPr>
                <w:rFonts w:hint="eastAsia" w:eastAsia="宋体"/>
                <w:sz w:val="22"/>
                <w:szCs w:val="22"/>
                <w:lang w:val="en-US" w:eastAsia="zh-CN"/>
              </w:rPr>
              <w:t>5</w:t>
            </w:r>
          </w:p>
        </w:tc>
        <w:tc>
          <w:tcPr>
            <w:tcW w:w="1289" w:type="dxa"/>
            <w:tcBorders>
              <w:top w:val="nil"/>
              <w:left w:val="nil"/>
              <w:bottom w:val="single" w:color="000000" w:sz="4" w:space="0"/>
              <w:right w:val="single" w:color="000000" w:sz="4" w:space="0"/>
            </w:tcBorders>
          </w:tcPr>
          <w:p w14:paraId="1F318786">
            <w:pPr>
              <w:jc w:val="left"/>
              <w:rPr>
                <w:rFonts w:hint="eastAsia" w:eastAsia="宋体"/>
                <w:sz w:val="22"/>
                <w:szCs w:val="22"/>
                <w:lang w:eastAsia="zh-CN"/>
              </w:rPr>
            </w:pPr>
            <w:r>
              <w:rPr>
                <w:sz w:val="22"/>
                <w:szCs w:val="22"/>
              </w:rPr>
              <w:t>发现驾驶违反采购人相关规章制度的</w:t>
            </w:r>
            <w:r>
              <w:rPr>
                <w:rFonts w:hint="eastAsia" w:eastAsia="宋体"/>
                <w:sz w:val="22"/>
                <w:szCs w:val="22"/>
                <w:lang w:eastAsia="zh-CN"/>
              </w:rPr>
              <w:t>，</w:t>
            </w:r>
            <w:r>
              <w:rPr>
                <w:rFonts w:hint="eastAsia" w:eastAsia="宋体"/>
                <w:sz w:val="22"/>
                <w:szCs w:val="22"/>
                <w:lang w:val="en-US" w:eastAsia="zh-CN"/>
              </w:rPr>
              <w:t>每</w:t>
            </w:r>
            <w:r>
              <w:rPr>
                <w:sz w:val="22"/>
                <w:szCs w:val="22"/>
              </w:rPr>
              <w:t>次扣</w:t>
            </w:r>
            <w:r>
              <w:rPr>
                <w:rFonts w:hint="eastAsia" w:eastAsia="宋体"/>
                <w:sz w:val="22"/>
                <w:szCs w:val="22"/>
                <w:lang w:val="en-US" w:eastAsia="zh-CN"/>
              </w:rPr>
              <w:t>1</w:t>
            </w:r>
            <w:r>
              <w:rPr>
                <w:sz w:val="22"/>
                <w:szCs w:val="22"/>
              </w:rPr>
              <w:t>分</w:t>
            </w:r>
          </w:p>
        </w:tc>
        <w:tc>
          <w:tcPr>
            <w:tcW w:w="839" w:type="dxa"/>
            <w:tcBorders>
              <w:top w:val="nil"/>
              <w:left w:val="nil"/>
              <w:bottom w:val="single" w:color="000000" w:sz="4" w:space="0"/>
              <w:right w:val="single" w:color="000000" w:sz="4" w:space="0"/>
            </w:tcBorders>
          </w:tcPr>
          <w:p w14:paraId="54D60C5B">
            <w:pPr>
              <w:jc w:val="center"/>
              <w:rPr>
                <w:sz w:val="22"/>
                <w:szCs w:val="22"/>
              </w:rPr>
            </w:pPr>
          </w:p>
        </w:tc>
      </w:tr>
      <w:tr w14:paraId="224980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15988E65">
            <w:pPr>
              <w:jc w:val="center"/>
              <w:rPr>
                <w:rFonts w:hint="default" w:eastAsia="宋体"/>
                <w:sz w:val="22"/>
                <w:szCs w:val="22"/>
                <w:lang w:val="en-US" w:eastAsia="zh-CN"/>
              </w:rPr>
            </w:pPr>
            <w:r>
              <w:rPr>
                <w:rFonts w:hint="eastAsia" w:eastAsia="宋体"/>
                <w:sz w:val="22"/>
                <w:szCs w:val="22"/>
                <w:lang w:val="en-US" w:eastAsia="zh-CN"/>
              </w:rPr>
              <w:t>10</w:t>
            </w:r>
          </w:p>
        </w:tc>
        <w:tc>
          <w:tcPr>
            <w:tcW w:w="779" w:type="dxa"/>
            <w:vMerge w:val="restart"/>
            <w:tcBorders>
              <w:top w:val="nil"/>
              <w:left w:val="nil"/>
              <w:bottom w:val="single" w:color="000000" w:sz="4" w:space="0"/>
              <w:right w:val="single" w:color="000000" w:sz="4" w:space="0"/>
            </w:tcBorders>
            <w:vAlign w:val="center"/>
          </w:tcPr>
          <w:p w14:paraId="5AD04AD9">
            <w:pPr>
              <w:jc w:val="center"/>
              <w:rPr>
                <w:sz w:val="22"/>
                <w:szCs w:val="22"/>
              </w:rPr>
            </w:pPr>
            <w:r>
              <w:rPr>
                <w:sz w:val="22"/>
                <w:szCs w:val="22"/>
              </w:rPr>
              <w:t>行驶要求（</w:t>
            </w:r>
            <w:r>
              <w:rPr>
                <w:rFonts w:hint="eastAsia" w:eastAsia="宋体"/>
                <w:sz w:val="22"/>
                <w:szCs w:val="22"/>
                <w:lang w:val="en-US" w:eastAsia="zh-CN"/>
              </w:rPr>
              <w:t>20</w:t>
            </w:r>
            <w:r>
              <w:rPr>
                <w:sz w:val="22"/>
                <w:szCs w:val="22"/>
              </w:rPr>
              <w:t>分）</w:t>
            </w:r>
          </w:p>
        </w:tc>
        <w:tc>
          <w:tcPr>
            <w:tcW w:w="3928" w:type="dxa"/>
            <w:tcBorders>
              <w:top w:val="nil"/>
              <w:left w:val="nil"/>
              <w:bottom w:val="single" w:color="000000" w:sz="4" w:space="0"/>
              <w:right w:val="single" w:color="000000" w:sz="4" w:space="0"/>
            </w:tcBorders>
          </w:tcPr>
          <w:p w14:paraId="79B5AB7C">
            <w:pPr>
              <w:jc w:val="left"/>
              <w:rPr>
                <w:rFonts w:hint="eastAsia" w:eastAsia="宋体"/>
                <w:sz w:val="22"/>
                <w:szCs w:val="22"/>
                <w:lang w:eastAsia="zh-CN"/>
              </w:rPr>
            </w:pPr>
            <w:r>
              <w:rPr>
                <w:sz w:val="22"/>
                <w:szCs w:val="22"/>
              </w:rPr>
              <w:t>车辆应保障职工在采购人规定的上下班时间抵达和离开，上落点严格按采购人确定的路线行驶。</w:t>
            </w:r>
          </w:p>
        </w:tc>
        <w:tc>
          <w:tcPr>
            <w:tcW w:w="914" w:type="dxa"/>
            <w:tcBorders>
              <w:top w:val="nil"/>
              <w:left w:val="nil"/>
              <w:bottom w:val="single" w:color="000000" w:sz="4" w:space="0"/>
              <w:right w:val="single" w:color="000000" w:sz="4" w:space="0"/>
            </w:tcBorders>
            <w:vAlign w:val="center"/>
          </w:tcPr>
          <w:p w14:paraId="03EED1C8">
            <w:pPr>
              <w:jc w:val="center"/>
              <w:rPr>
                <w:rFonts w:hint="eastAsia" w:eastAsia="宋体"/>
                <w:sz w:val="22"/>
                <w:szCs w:val="22"/>
                <w:lang w:eastAsia="zh-CN"/>
              </w:rPr>
            </w:pPr>
            <w:r>
              <w:rPr>
                <w:rFonts w:hint="eastAsia" w:eastAsia="宋体"/>
                <w:sz w:val="22"/>
                <w:szCs w:val="22"/>
                <w:lang w:val="en-US" w:eastAsia="zh-CN"/>
              </w:rPr>
              <w:t>8</w:t>
            </w:r>
          </w:p>
        </w:tc>
        <w:tc>
          <w:tcPr>
            <w:tcW w:w="1289" w:type="dxa"/>
            <w:tcBorders>
              <w:top w:val="nil"/>
              <w:left w:val="nil"/>
              <w:bottom w:val="single" w:color="000000" w:sz="4" w:space="0"/>
              <w:right w:val="single" w:color="000000" w:sz="4" w:space="0"/>
            </w:tcBorders>
          </w:tcPr>
          <w:p w14:paraId="4BE772CF">
            <w:pPr>
              <w:jc w:val="left"/>
              <w:rPr>
                <w:sz w:val="22"/>
                <w:szCs w:val="22"/>
              </w:rPr>
            </w:pPr>
            <w:r>
              <w:rPr>
                <w:sz w:val="22"/>
                <w:szCs w:val="22"/>
              </w:rPr>
              <w:t>不按要求的，</w:t>
            </w:r>
            <w:r>
              <w:rPr>
                <w:rFonts w:hint="eastAsia" w:eastAsia="宋体"/>
                <w:sz w:val="22"/>
                <w:szCs w:val="22"/>
                <w:lang w:val="en-US" w:eastAsia="zh-CN"/>
              </w:rPr>
              <w:t>每</w:t>
            </w:r>
            <w:r>
              <w:rPr>
                <w:sz w:val="22"/>
                <w:szCs w:val="22"/>
              </w:rPr>
              <w:t>次扣2分</w:t>
            </w:r>
          </w:p>
        </w:tc>
        <w:tc>
          <w:tcPr>
            <w:tcW w:w="839" w:type="dxa"/>
            <w:tcBorders>
              <w:top w:val="nil"/>
              <w:left w:val="nil"/>
              <w:bottom w:val="single" w:color="000000" w:sz="4" w:space="0"/>
              <w:right w:val="single" w:color="000000" w:sz="4" w:space="0"/>
            </w:tcBorders>
          </w:tcPr>
          <w:p w14:paraId="5FCC686D">
            <w:pPr>
              <w:jc w:val="center"/>
              <w:rPr>
                <w:sz w:val="22"/>
                <w:szCs w:val="22"/>
              </w:rPr>
            </w:pPr>
          </w:p>
        </w:tc>
      </w:tr>
      <w:tr w14:paraId="4B3BB6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0B3F784C">
            <w:pPr>
              <w:jc w:val="center"/>
              <w:rPr>
                <w:rFonts w:hint="default" w:eastAsia="宋体"/>
                <w:sz w:val="22"/>
                <w:szCs w:val="22"/>
                <w:lang w:val="en-US" w:eastAsia="zh-CN"/>
              </w:rPr>
            </w:pPr>
            <w:r>
              <w:rPr>
                <w:rFonts w:hint="eastAsia" w:eastAsia="宋体"/>
                <w:sz w:val="22"/>
                <w:szCs w:val="22"/>
                <w:lang w:val="en-US" w:eastAsia="zh-CN"/>
              </w:rPr>
              <w:t>11</w:t>
            </w:r>
          </w:p>
        </w:tc>
        <w:tc>
          <w:tcPr>
            <w:tcW w:w="779" w:type="dxa"/>
            <w:vMerge w:val="continue"/>
            <w:tcBorders>
              <w:left w:val="nil"/>
              <w:right w:val="single" w:color="000000" w:sz="4" w:space="0"/>
            </w:tcBorders>
            <w:vAlign w:val="center"/>
          </w:tcPr>
          <w:p w14:paraId="31D46938">
            <w:pPr>
              <w:jc w:val="center"/>
              <w:rPr>
                <w:sz w:val="22"/>
                <w:szCs w:val="22"/>
              </w:rPr>
            </w:pPr>
          </w:p>
        </w:tc>
        <w:tc>
          <w:tcPr>
            <w:tcW w:w="3928" w:type="dxa"/>
            <w:tcBorders>
              <w:top w:val="nil"/>
              <w:left w:val="nil"/>
              <w:bottom w:val="single" w:color="000000" w:sz="4" w:space="0"/>
              <w:right w:val="single" w:color="000000" w:sz="4" w:space="0"/>
            </w:tcBorders>
          </w:tcPr>
          <w:p w14:paraId="377D0814">
            <w:pPr>
              <w:jc w:val="left"/>
              <w:rPr>
                <w:sz w:val="22"/>
                <w:szCs w:val="22"/>
              </w:rPr>
            </w:pPr>
            <w:r>
              <w:rPr>
                <w:sz w:val="22"/>
                <w:szCs w:val="22"/>
              </w:rPr>
              <w:t>行车载客时遵守交通规则，合理操作，确保采购人乘车人员安全。</w:t>
            </w:r>
          </w:p>
        </w:tc>
        <w:tc>
          <w:tcPr>
            <w:tcW w:w="914" w:type="dxa"/>
            <w:tcBorders>
              <w:top w:val="nil"/>
              <w:left w:val="nil"/>
              <w:bottom w:val="single" w:color="000000" w:sz="4" w:space="0"/>
              <w:right w:val="single" w:color="000000" w:sz="4" w:space="0"/>
            </w:tcBorders>
            <w:vAlign w:val="center"/>
          </w:tcPr>
          <w:p w14:paraId="2F1E72CD">
            <w:pPr>
              <w:jc w:val="center"/>
              <w:rPr>
                <w:rFonts w:hint="eastAsia" w:eastAsia="宋体"/>
                <w:sz w:val="22"/>
                <w:szCs w:val="22"/>
                <w:lang w:val="en-US" w:eastAsia="zh-CN"/>
              </w:rPr>
            </w:pPr>
            <w:r>
              <w:rPr>
                <w:rFonts w:hint="eastAsia" w:eastAsia="宋体"/>
                <w:sz w:val="22"/>
                <w:szCs w:val="22"/>
                <w:lang w:val="en-US" w:eastAsia="zh-CN"/>
              </w:rPr>
              <w:t>8</w:t>
            </w:r>
          </w:p>
        </w:tc>
        <w:tc>
          <w:tcPr>
            <w:tcW w:w="1289" w:type="dxa"/>
            <w:tcBorders>
              <w:top w:val="nil"/>
              <w:left w:val="nil"/>
              <w:bottom w:val="single" w:color="000000" w:sz="4" w:space="0"/>
              <w:right w:val="single" w:color="000000" w:sz="4" w:space="0"/>
            </w:tcBorders>
          </w:tcPr>
          <w:p w14:paraId="1CB1236A">
            <w:pPr>
              <w:jc w:val="left"/>
              <w:rPr>
                <w:sz w:val="22"/>
                <w:szCs w:val="22"/>
              </w:rPr>
            </w:pPr>
            <w:r>
              <w:rPr>
                <w:sz w:val="22"/>
                <w:szCs w:val="22"/>
              </w:rPr>
              <w:t>出现违反交通规则</w:t>
            </w:r>
            <w:r>
              <w:rPr>
                <w:rFonts w:hint="eastAsia" w:eastAsia="宋体"/>
                <w:sz w:val="22"/>
                <w:szCs w:val="22"/>
                <w:lang w:val="en-US" w:eastAsia="zh-CN"/>
              </w:rPr>
              <w:t>的</w:t>
            </w:r>
            <w:r>
              <w:rPr>
                <w:sz w:val="22"/>
                <w:szCs w:val="22"/>
              </w:rPr>
              <w:t>，每次扣2分</w:t>
            </w:r>
          </w:p>
        </w:tc>
        <w:tc>
          <w:tcPr>
            <w:tcW w:w="839" w:type="dxa"/>
            <w:tcBorders>
              <w:top w:val="nil"/>
              <w:left w:val="nil"/>
              <w:bottom w:val="single" w:color="000000" w:sz="4" w:space="0"/>
              <w:right w:val="single" w:color="000000" w:sz="4" w:space="0"/>
            </w:tcBorders>
          </w:tcPr>
          <w:p w14:paraId="4BD629FE">
            <w:pPr>
              <w:jc w:val="center"/>
              <w:rPr>
                <w:sz w:val="22"/>
                <w:szCs w:val="22"/>
              </w:rPr>
            </w:pPr>
          </w:p>
        </w:tc>
      </w:tr>
      <w:tr w14:paraId="0460F7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5CFD3044">
            <w:pPr>
              <w:jc w:val="center"/>
              <w:rPr>
                <w:rFonts w:hint="eastAsia" w:eastAsia="宋体"/>
                <w:sz w:val="22"/>
                <w:szCs w:val="22"/>
                <w:lang w:eastAsia="zh-CN"/>
              </w:rPr>
            </w:pPr>
            <w:r>
              <w:rPr>
                <w:sz w:val="22"/>
                <w:szCs w:val="22"/>
              </w:rPr>
              <w:t>1</w:t>
            </w:r>
            <w:r>
              <w:rPr>
                <w:rFonts w:hint="eastAsia" w:eastAsia="宋体"/>
                <w:sz w:val="22"/>
                <w:szCs w:val="22"/>
                <w:lang w:val="en-US" w:eastAsia="zh-CN"/>
              </w:rPr>
              <w:t>2</w:t>
            </w:r>
          </w:p>
        </w:tc>
        <w:tc>
          <w:tcPr>
            <w:tcW w:w="779" w:type="dxa"/>
            <w:vMerge w:val="continue"/>
            <w:tcBorders>
              <w:top w:val="nil"/>
              <w:left w:val="nil"/>
              <w:bottom w:val="single" w:color="000000" w:sz="4" w:space="0"/>
              <w:right w:val="single" w:color="000000" w:sz="4" w:space="0"/>
            </w:tcBorders>
            <w:vAlign w:val="center"/>
          </w:tcPr>
          <w:p w14:paraId="0814D564">
            <w:pPr>
              <w:jc w:val="center"/>
              <w:rPr>
                <w:sz w:val="22"/>
                <w:szCs w:val="22"/>
              </w:rPr>
            </w:pPr>
          </w:p>
        </w:tc>
        <w:tc>
          <w:tcPr>
            <w:tcW w:w="3928" w:type="dxa"/>
            <w:tcBorders>
              <w:top w:val="nil"/>
              <w:left w:val="nil"/>
              <w:bottom w:val="single" w:color="000000" w:sz="4" w:space="0"/>
              <w:right w:val="single" w:color="000000" w:sz="4" w:space="0"/>
            </w:tcBorders>
          </w:tcPr>
          <w:p w14:paraId="07D98316">
            <w:pPr>
              <w:jc w:val="left"/>
              <w:rPr>
                <w:sz w:val="22"/>
                <w:szCs w:val="22"/>
              </w:rPr>
            </w:pPr>
            <w:r>
              <w:rPr>
                <w:rFonts w:hint="eastAsia"/>
                <w:sz w:val="22"/>
                <w:szCs w:val="22"/>
                <w:lang w:val="en-US" w:eastAsia="zh-CN"/>
              </w:rPr>
              <w:t>车辆在行驶途中出现车辆故障、交通事故等突发情况，成交供应商应安排备用车辆在1小时内到达采购人指定地点。</w:t>
            </w:r>
          </w:p>
        </w:tc>
        <w:tc>
          <w:tcPr>
            <w:tcW w:w="914" w:type="dxa"/>
            <w:tcBorders>
              <w:top w:val="nil"/>
              <w:left w:val="nil"/>
              <w:bottom w:val="single" w:color="000000" w:sz="4" w:space="0"/>
              <w:right w:val="single" w:color="000000" w:sz="4" w:space="0"/>
            </w:tcBorders>
            <w:vAlign w:val="center"/>
          </w:tcPr>
          <w:p w14:paraId="4DF05C26">
            <w:pPr>
              <w:jc w:val="center"/>
              <w:rPr>
                <w:rFonts w:hint="default" w:eastAsia="宋体"/>
                <w:sz w:val="22"/>
                <w:szCs w:val="22"/>
                <w:lang w:val="en-US" w:eastAsia="zh-CN"/>
              </w:rPr>
            </w:pPr>
            <w:r>
              <w:rPr>
                <w:rFonts w:hint="eastAsia" w:eastAsia="宋体"/>
                <w:sz w:val="22"/>
                <w:szCs w:val="22"/>
                <w:lang w:val="en-US" w:eastAsia="zh-CN"/>
              </w:rPr>
              <w:t>4</w:t>
            </w:r>
          </w:p>
        </w:tc>
        <w:tc>
          <w:tcPr>
            <w:tcW w:w="1289" w:type="dxa"/>
            <w:tcBorders>
              <w:top w:val="nil"/>
              <w:left w:val="nil"/>
              <w:bottom w:val="single" w:color="000000" w:sz="4" w:space="0"/>
              <w:right w:val="single" w:color="000000" w:sz="4" w:space="0"/>
            </w:tcBorders>
          </w:tcPr>
          <w:p w14:paraId="4F249197">
            <w:pPr>
              <w:jc w:val="left"/>
              <w:rPr>
                <w:sz w:val="22"/>
                <w:szCs w:val="22"/>
              </w:rPr>
            </w:pPr>
            <w:r>
              <w:rPr>
                <w:sz w:val="22"/>
                <w:szCs w:val="22"/>
              </w:rPr>
              <w:t>没在规定时间内安排车辆转接</w:t>
            </w:r>
            <w:r>
              <w:rPr>
                <w:rFonts w:hint="eastAsia" w:eastAsia="宋体"/>
                <w:sz w:val="22"/>
                <w:szCs w:val="22"/>
                <w:lang w:val="en-US" w:eastAsia="zh-CN"/>
              </w:rPr>
              <w:t>的，</w:t>
            </w:r>
            <w:r>
              <w:rPr>
                <w:sz w:val="22"/>
                <w:szCs w:val="22"/>
              </w:rPr>
              <w:t>扣</w:t>
            </w:r>
            <w:r>
              <w:rPr>
                <w:rFonts w:hint="eastAsia" w:eastAsia="宋体"/>
                <w:sz w:val="22"/>
                <w:szCs w:val="22"/>
                <w:lang w:val="en-US" w:eastAsia="zh-CN"/>
              </w:rPr>
              <w:t>4</w:t>
            </w:r>
            <w:r>
              <w:rPr>
                <w:sz w:val="22"/>
                <w:szCs w:val="22"/>
              </w:rPr>
              <w:t>分</w:t>
            </w:r>
          </w:p>
        </w:tc>
        <w:tc>
          <w:tcPr>
            <w:tcW w:w="839" w:type="dxa"/>
            <w:tcBorders>
              <w:top w:val="nil"/>
              <w:left w:val="nil"/>
              <w:bottom w:val="single" w:color="000000" w:sz="4" w:space="0"/>
              <w:right w:val="single" w:color="000000" w:sz="4" w:space="0"/>
            </w:tcBorders>
          </w:tcPr>
          <w:p w14:paraId="4A4CB6FD">
            <w:pPr>
              <w:jc w:val="center"/>
              <w:rPr>
                <w:sz w:val="22"/>
                <w:szCs w:val="22"/>
              </w:rPr>
            </w:pPr>
          </w:p>
        </w:tc>
      </w:tr>
      <w:tr w14:paraId="087FEE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263F8CF1">
            <w:pPr>
              <w:jc w:val="center"/>
              <w:rPr>
                <w:rFonts w:hint="eastAsia" w:eastAsia="宋体"/>
                <w:sz w:val="22"/>
                <w:szCs w:val="22"/>
                <w:lang w:eastAsia="zh-CN"/>
              </w:rPr>
            </w:pPr>
            <w:r>
              <w:rPr>
                <w:sz w:val="22"/>
                <w:szCs w:val="22"/>
              </w:rPr>
              <w:t>1</w:t>
            </w:r>
            <w:r>
              <w:rPr>
                <w:rFonts w:hint="eastAsia" w:eastAsia="宋体"/>
                <w:sz w:val="22"/>
                <w:szCs w:val="22"/>
                <w:lang w:val="en-US" w:eastAsia="zh-CN"/>
              </w:rPr>
              <w:t>3</w:t>
            </w:r>
          </w:p>
        </w:tc>
        <w:tc>
          <w:tcPr>
            <w:tcW w:w="779" w:type="dxa"/>
            <w:tcBorders>
              <w:top w:val="nil"/>
              <w:left w:val="nil"/>
              <w:bottom w:val="single" w:color="000000" w:sz="4" w:space="0"/>
              <w:right w:val="single" w:color="000000" w:sz="4" w:space="0"/>
            </w:tcBorders>
            <w:vAlign w:val="center"/>
          </w:tcPr>
          <w:p w14:paraId="1A11F775">
            <w:pPr>
              <w:jc w:val="center"/>
              <w:rPr>
                <w:sz w:val="22"/>
                <w:szCs w:val="22"/>
              </w:rPr>
            </w:pPr>
            <w:r>
              <w:rPr>
                <w:sz w:val="22"/>
                <w:szCs w:val="22"/>
              </w:rPr>
              <w:t>保险要求（1</w:t>
            </w:r>
            <w:r>
              <w:rPr>
                <w:rFonts w:hint="eastAsia" w:eastAsia="宋体"/>
                <w:sz w:val="22"/>
                <w:szCs w:val="22"/>
                <w:lang w:val="en-US" w:eastAsia="zh-CN"/>
              </w:rPr>
              <w:t>2</w:t>
            </w:r>
            <w:r>
              <w:rPr>
                <w:sz w:val="22"/>
                <w:szCs w:val="22"/>
              </w:rPr>
              <w:t>分）</w:t>
            </w:r>
          </w:p>
        </w:tc>
        <w:tc>
          <w:tcPr>
            <w:tcW w:w="3928" w:type="dxa"/>
            <w:tcBorders>
              <w:top w:val="nil"/>
              <w:left w:val="nil"/>
              <w:bottom w:val="single" w:color="000000" w:sz="4" w:space="0"/>
              <w:right w:val="single" w:color="000000" w:sz="4" w:space="0"/>
            </w:tcBorders>
          </w:tcPr>
          <w:p w14:paraId="6221448F">
            <w:pPr>
              <w:numPr>
                <w:ilvl w:val="0"/>
                <w:numId w:val="0"/>
              </w:numPr>
              <w:jc w:val="left"/>
              <w:rPr>
                <w:rFonts w:hint="eastAsia" w:eastAsia="宋体"/>
                <w:sz w:val="22"/>
                <w:szCs w:val="22"/>
                <w:lang w:val="en-US" w:eastAsia="zh-CN"/>
              </w:rPr>
            </w:pPr>
            <w:r>
              <w:rPr>
                <w:rFonts w:hint="eastAsia" w:eastAsia="宋体"/>
                <w:sz w:val="22"/>
                <w:szCs w:val="22"/>
                <w:lang w:val="en-US" w:eastAsia="zh-CN"/>
              </w:rPr>
              <w:t>1.机动车交通事故责任强制保险；</w:t>
            </w:r>
          </w:p>
          <w:p w14:paraId="45B05C66">
            <w:pPr>
              <w:numPr>
                <w:ilvl w:val="0"/>
                <w:numId w:val="0"/>
              </w:numPr>
              <w:jc w:val="left"/>
              <w:rPr>
                <w:rFonts w:hint="eastAsia" w:eastAsia="宋体"/>
                <w:sz w:val="22"/>
                <w:szCs w:val="22"/>
                <w:lang w:val="en-US" w:eastAsia="zh-CN"/>
              </w:rPr>
            </w:pPr>
            <w:r>
              <w:rPr>
                <w:rFonts w:hint="eastAsia" w:eastAsia="宋体"/>
                <w:sz w:val="22"/>
                <w:szCs w:val="22"/>
                <w:lang w:val="en-US" w:eastAsia="zh-CN"/>
              </w:rPr>
              <w:t>2.第三者责任险（投保保额不低于人民币200万元）；</w:t>
            </w:r>
          </w:p>
          <w:p w14:paraId="522BE5D0">
            <w:pPr>
              <w:numPr>
                <w:ilvl w:val="0"/>
                <w:numId w:val="0"/>
              </w:numPr>
              <w:jc w:val="left"/>
              <w:rPr>
                <w:rFonts w:hint="eastAsia" w:eastAsia="宋体"/>
                <w:sz w:val="22"/>
                <w:szCs w:val="22"/>
                <w:lang w:val="en-US" w:eastAsia="zh-CN"/>
              </w:rPr>
            </w:pPr>
            <w:r>
              <w:rPr>
                <w:rFonts w:hint="eastAsia" w:eastAsia="宋体"/>
                <w:sz w:val="22"/>
                <w:szCs w:val="22"/>
                <w:lang w:val="en-US" w:eastAsia="zh-CN"/>
              </w:rPr>
              <w:t>3.车上人员责任险（全部车上座位投保每车每次每座位赔偿限额不少于人民币80万元的乘客意外事故险）；</w:t>
            </w:r>
          </w:p>
          <w:p w14:paraId="6936761F">
            <w:pPr>
              <w:numPr>
                <w:ilvl w:val="0"/>
                <w:numId w:val="0"/>
              </w:numPr>
              <w:jc w:val="left"/>
              <w:rPr>
                <w:sz w:val="22"/>
                <w:szCs w:val="22"/>
              </w:rPr>
            </w:pPr>
            <w:r>
              <w:rPr>
                <w:rFonts w:hint="eastAsia" w:eastAsia="宋体"/>
                <w:sz w:val="22"/>
                <w:szCs w:val="22"/>
                <w:lang w:val="en-US" w:eastAsia="zh-CN"/>
              </w:rPr>
              <w:t>4.车辆不计免赔险，包含基本险不计免赔和附加险不计免赔</w:t>
            </w:r>
          </w:p>
        </w:tc>
        <w:tc>
          <w:tcPr>
            <w:tcW w:w="914" w:type="dxa"/>
            <w:tcBorders>
              <w:top w:val="nil"/>
              <w:left w:val="nil"/>
              <w:bottom w:val="single" w:color="000000" w:sz="4" w:space="0"/>
              <w:right w:val="single" w:color="000000" w:sz="4" w:space="0"/>
            </w:tcBorders>
            <w:vAlign w:val="center"/>
          </w:tcPr>
          <w:p w14:paraId="3FD0F0E1">
            <w:pPr>
              <w:jc w:val="center"/>
              <w:rPr>
                <w:rFonts w:hint="default" w:eastAsia="宋体"/>
                <w:sz w:val="22"/>
                <w:szCs w:val="22"/>
                <w:lang w:val="en-US" w:eastAsia="zh-CN"/>
              </w:rPr>
            </w:pPr>
            <w:r>
              <w:rPr>
                <w:rFonts w:hint="eastAsia" w:eastAsia="宋体"/>
                <w:sz w:val="22"/>
                <w:szCs w:val="22"/>
                <w:lang w:val="en-US" w:eastAsia="zh-CN"/>
              </w:rPr>
              <w:t>12</w:t>
            </w:r>
          </w:p>
        </w:tc>
        <w:tc>
          <w:tcPr>
            <w:tcW w:w="1289" w:type="dxa"/>
            <w:tcBorders>
              <w:top w:val="nil"/>
              <w:left w:val="nil"/>
              <w:bottom w:val="single" w:color="000000" w:sz="4" w:space="0"/>
              <w:right w:val="single" w:color="000000" w:sz="4" w:space="0"/>
            </w:tcBorders>
          </w:tcPr>
          <w:p w14:paraId="6DBC180E">
            <w:pPr>
              <w:jc w:val="left"/>
              <w:rPr>
                <w:sz w:val="22"/>
                <w:szCs w:val="22"/>
              </w:rPr>
            </w:pPr>
            <w:r>
              <w:rPr>
                <w:sz w:val="22"/>
                <w:szCs w:val="22"/>
              </w:rPr>
              <w:t>1项不符合要求扣</w:t>
            </w:r>
            <w:r>
              <w:rPr>
                <w:rFonts w:hint="eastAsia" w:eastAsia="宋体"/>
                <w:sz w:val="22"/>
                <w:szCs w:val="22"/>
                <w:lang w:val="en-US" w:eastAsia="zh-CN"/>
              </w:rPr>
              <w:t>3</w:t>
            </w:r>
            <w:r>
              <w:rPr>
                <w:sz w:val="22"/>
                <w:szCs w:val="22"/>
              </w:rPr>
              <w:t>分</w:t>
            </w:r>
          </w:p>
        </w:tc>
        <w:tc>
          <w:tcPr>
            <w:tcW w:w="839" w:type="dxa"/>
            <w:tcBorders>
              <w:top w:val="nil"/>
              <w:left w:val="nil"/>
              <w:bottom w:val="single" w:color="000000" w:sz="4" w:space="0"/>
              <w:right w:val="single" w:color="000000" w:sz="4" w:space="0"/>
            </w:tcBorders>
          </w:tcPr>
          <w:p w14:paraId="702B1FC1">
            <w:pPr>
              <w:jc w:val="center"/>
              <w:rPr>
                <w:sz w:val="22"/>
                <w:szCs w:val="22"/>
              </w:rPr>
            </w:pPr>
          </w:p>
        </w:tc>
      </w:tr>
      <w:tr w14:paraId="2C2242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tcPr>
          <w:p w14:paraId="17BE2483">
            <w:pPr>
              <w:jc w:val="left"/>
              <w:rPr>
                <w:sz w:val="22"/>
                <w:szCs w:val="22"/>
              </w:rPr>
            </w:pPr>
            <w:r>
              <w:rPr>
                <w:sz w:val="22"/>
                <w:szCs w:val="22"/>
              </w:rPr>
              <w:t>以下考核条款不列入每月服务质量考核，当服务车辆发生车辆交通安全事故并造成采购人乘车人员伤亡的成交供应商除承担所有责任并负责赔偿采购人的损失外，采购人还将按以下考核条款对成交供应商进行扣罚。</w:t>
            </w:r>
          </w:p>
        </w:tc>
      </w:tr>
      <w:tr w14:paraId="4A86C8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4E999845">
            <w:pPr>
              <w:jc w:val="center"/>
              <w:rPr>
                <w:rFonts w:hint="default" w:eastAsia="宋体"/>
                <w:sz w:val="22"/>
                <w:szCs w:val="22"/>
                <w:lang w:val="en-US" w:eastAsia="zh-CN"/>
              </w:rPr>
            </w:pPr>
            <w:r>
              <w:rPr>
                <w:rFonts w:hint="eastAsia" w:eastAsia="宋体"/>
                <w:sz w:val="22"/>
                <w:szCs w:val="22"/>
                <w:lang w:val="en-US" w:eastAsia="zh-CN"/>
              </w:rPr>
              <w:t>14</w:t>
            </w:r>
          </w:p>
        </w:tc>
        <w:tc>
          <w:tcPr>
            <w:tcW w:w="779" w:type="dxa"/>
            <w:vMerge w:val="restart"/>
            <w:tcBorders>
              <w:top w:val="nil"/>
              <w:left w:val="nil"/>
              <w:bottom w:val="single" w:color="000000" w:sz="4" w:space="0"/>
              <w:right w:val="single" w:color="000000" w:sz="4" w:space="0"/>
            </w:tcBorders>
            <w:vAlign w:val="center"/>
          </w:tcPr>
          <w:p w14:paraId="37F947B9">
            <w:pPr>
              <w:jc w:val="center"/>
              <w:rPr>
                <w:sz w:val="22"/>
                <w:szCs w:val="22"/>
              </w:rPr>
            </w:pPr>
            <w:r>
              <w:rPr>
                <w:sz w:val="22"/>
                <w:szCs w:val="22"/>
              </w:rPr>
              <w:t>发生车辆事故(50-100分）</w:t>
            </w:r>
          </w:p>
        </w:tc>
        <w:tc>
          <w:tcPr>
            <w:tcW w:w="3928" w:type="dxa"/>
            <w:tcBorders>
              <w:top w:val="nil"/>
              <w:left w:val="nil"/>
              <w:bottom w:val="single" w:color="000000" w:sz="4" w:space="0"/>
              <w:right w:val="single" w:color="000000" w:sz="4" w:space="0"/>
            </w:tcBorders>
          </w:tcPr>
          <w:p w14:paraId="50395831">
            <w:pPr>
              <w:jc w:val="left"/>
              <w:rPr>
                <w:sz w:val="22"/>
                <w:szCs w:val="22"/>
              </w:rPr>
            </w:pPr>
            <w:r>
              <w:rPr>
                <w:sz w:val="22"/>
                <w:szCs w:val="22"/>
              </w:rPr>
              <w:t>车辆发生一般事故的</w:t>
            </w:r>
          </w:p>
        </w:tc>
        <w:tc>
          <w:tcPr>
            <w:tcW w:w="914" w:type="dxa"/>
            <w:tcBorders>
              <w:top w:val="nil"/>
              <w:left w:val="nil"/>
              <w:bottom w:val="single" w:color="000000" w:sz="4" w:space="0"/>
              <w:right w:val="single" w:color="000000" w:sz="4" w:space="0"/>
            </w:tcBorders>
            <w:vAlign w:val="center"/>
          </w:tcPr>
          <w:p w14:paraId="03FED887">
            <w:pPr>
              <w:jc w:val="center"/>
              <w:rPr>
                <w:sz w:val="22"/>
                <w:szCs w:val="22"/>
              </w:rPr>
            </w:pPr>
            <w:r>
              <w:rPr>
                <w:sz w:val="22"/>
                <w:szCs w:val="22"/>
              </w:rPr>
              <w:t>50</w:t>
            </w:r>
          </w:p>
        </w:tc>
        <w:tc>
          <w:tcPr>
            <w:tcW w:w="1289" w:type="dxa"/>
            <w:tcBorders>
              <w:top w:val="nil"/>
              <w:left w:val="nil"/>
              <w:bottom w:val="single" w:color="000000" w:sz="4" w:space="0"/>
              <w:right w:val="single" w:color="000000" w:sz="4" w:space="0"/>
            </w:tcBorders>
          </w:tcPr>
          <w:p w14:paraId="1C8F661D">
            <w:pPr>
              <w:jc w:val="left"/>
              <w:rPr>
                <w:sz w:val="22"/>
                <w:szCs w:val="22"/>
              </w:rPr>
            </w:pPr>
            <w:r>
              <w:rPr>
                <w:sz w:val="22"/>
                <w:szCs w:val="22"/>
              </w:rPr>
              <w:t>事故造成采购人乘车人员1-2人重伤的</w:t>
            </w:r>
          </w:p>
        </w:tc>
        <w:tc>
          <w:tcPr>
            <w:tcW w:w="839" w:type="dxa"/>
            <w:tcBorders>
              <w:top w:val="nil"/>
              <w:left w:val="nil"/>
              <w:bottom w:val="single" w:color="000000" w:sz="4" w:space="0"/>
              <w:right w:val="single" w:color="000000" w:sz="4" w:space="0"/>
            </w:tcBorders>
          </w:tcPr>
          <w:p w14:paraId="30815586">
            <w:pPr>
              <w:jc w:val="center"/>
              <w:rPr>
                <w:sz w:val="22"/>
                <w:szCs w:val="22"/>
              </w:rPr>
            </w:pPr>
          </w:p>
        </w:tc>
      </w:tr>
      <w:tr w14:paraId="09C0B5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10407873">
            <w:pPr>
              <w:jc w:val="center"/>
              <w:rPr>
                <w:rFonts w:hint="default" w:eastAsia="宋体"/>
                <w:sz w:val="22"/>
                <w:szCs w:val="22"/>
                <w:lang w:val="en-US" w:eastAsia="zh-CN"/>
              </w:rPr>
            </w:pPr>
            <w:r>
              <w:rPr>
                <w:rFonts w:hint="eastAsia" w:eastAsia="宋体"/>
                <w:sz w:val="22"/>
                <w:szCs w:val="22"/>
                <w:lang w:val="en-US" w:eastAsia="zh-CN"/>
              </w:rPr>
              <w:t>15</w:t>
            </w:r>
          </w:p>
        </w:tc>
        <w:tc>
          <w:tcPr>
            <w:tcW w:w="779" w:type="dxa"/>
            <w:vMerge w:val="continue"/>
            <w:tcBorders>
              <w:top w:val="nil"/>
              <w:left w:val="nil"/>
              <w:bottom w:val="single" w:color="000000" w:sz="4" w:space="0"/>
              <w:right w:val="single" w:color="000000" w:sz="4" w:space="0"/>
            </w:tcBorders>
            <w:vAlign w:val="center"/>
          </w:tcPr>
          <w:p w14:paraId="5E74DF0E">
            <w:pPr>
              <w:jc w:val="center"/>
              <w:rPr>
                <w:sz w:val="22"/>
                <w:szCs w:val="22"/>
              </w:rPr>
            </w:pPr>
          </w:p>
        </w:tc>
        <w:tc>
          <w:tcPr>
            <w:tcW w:w="3928" w:type="dxa"/>
            <w:tcBorders>
              <w:top w:val="nil"/>
              <w:left w:val="nil"/>
              <w:bottom w:val="single" w:color="000000" w:sz="4" w:space="0"/>
              <w:right w:val="single" w:color="000000" w:sz="4" w:space="0"/>
            </w:tcBorders>
          </w:tcPr>
          <w:p w14:paraId="72C9990A">
            <w:pPr>
              <w:jc w:val="left"/>
              <w:rPr>
                <w:sz w:val="22"/>
                <w:szCs w:val="22"/>
              </w:rPr>
            </w:pPr>
            <w:r>
              <w:rPr>
                <w:sz w:val="22"/>
                <w:szCs w:val="22"/>
              </w:rPr>
              <w:t>车辆发生重大或特大事故的</w:t>
            </w:r>
          </w:p>
        </w:tc>
        <w:tc>
          <w:tcPr>
            <w:tcW w:w="914" w:type="dxa"/>
            <w:tcBorders>
              <w:top w:val="nil"/>
              <w:left w:val="nil"/>
              <w:bottom w:val="single" w:color="000000" w:sz="4" w:space="0"/>
              <w:right w:val="single" w:color="000000" w:sz="4" w:space="0"/>
            </w:tcBorders>
            <w:vAlign w:val="center"/>
          </w:tcPr>
          <w:p w14:paraId="7BD1E986">
            <w:pPr>
              <w:jc w:val="center"/>
              <w:rPr>
                <w:sz w:val="22"/>
                <w:szCs w:val="22"/>
              </w:rPr>
            </w:pPr>
            <w:r>
              <w:rPr>
                <w:sz w:val="22"/>
                <w:szCs w:val="22"/>
              </w:rPr>
              <w:t>100</w:t>
            </w:r>
          </w:p>
        </w:tc>
        <w:tc>
          <w:tcPr>
            <w:tcW w:w="1289" w:type="dxa"/>
            <w:tcBorders>
              <w:top w:val="nil"/>
              <w:left w:val="nil"/>
              <w:bottom w:val="single" w:color="000000" w:sz="4" w:space="0"/>
              <w:right w:val="single" w:color="000000" w:sz="4" w:space="0"/>
            </w:tcBorders>
          </w:tcPr>
          <w:p w14:paraId="2B9BD770">
            <w:pPr>
              <w:jc w:val="left"/>
              <w:rPr>
                <w:sz w:val="22"/>
                <w:szCs w:val="22"/>
              </w:rPr>
            </w:pPr>
            <w:r>
              <w:rPr>
                <w:sz w:val="22"/>
                <w:szCs w:val="22"/>
              </w:rPr>
              <w:t>事故造成采购人乘车人员1人及以上死亡的或3人及以上重伤的</w:t>
            </w:r>
          </w:p>
        </w:tc>
        <w:tc>
          <w:tcPr>
            <w:tcW w:w="839" w:type="dxa"/>
            <w:tcBorders>
              <w:top w:val="nil"/>
              <w:left w:val="nil"/>
              <w:bottom w:val="single" w:color="000000" w:sz="4" w:space="0"/>
              <w:right w:val="single" w:color="000000" w:sz="4" w:space="0"/>
            </w:tcBorders>
          </w:tcPr>
          <w:p w14:paraId="37D06B15">
            <w:pPr>
              <w:jc w:val="center"/>
              <w:rPr>
                <w:sz w:val="22"/>
                <w:szCs w:val="22"/>
              </w:rPr>
            </w:pPr>
          </w:p>
        </w:tc>
      </w:tr>
      <w:tr w14:paraId="2176D7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vAlign w:val="top"/>
          </w:tcPr>
          <w:p w14:paraId="3D3F2B3B">
            <w:pPr>
              <w:jc w:val="left"/>
              <w:rPr>
                <w:sz w:val="22"/>
                <w:szCs w:val="22"/>
              </w:rPr>
            </w:pPr>
            <w:r>
              <w:rPr>
                <w:sz w:val="22"/>
                <w:szCs w:val="22"/>
              </w:rPr>
              <w:t>项目总得分：</w:t>
            </w:r>
          </w:p>
        </w:tc>
      </w:tr>
      <w:tr w14:paraId="7A477C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vAlign w:val="top"/>
          </w:tcPr>
          <w:p w14:paraId="6B05E0B4">
            <w:pPr>
              <w:jc w:val="left"/>
              <w:rPr>
                <w:sz w:val="22"/>
                <w:szCs w:val="22"/>
              </w:rPr>
            </w:pPr>
            <w:r>
              <w:rPr>
                <w:sz w:val="22"/>
                <w:szCs w:val="22"/>
              </w:rPr>
              <w:t>采购人（考核人）签名：</w:t>
            </w:r>
          </w:p>
        </w:tc>
      </w:tr>
      <w:tr w14:paraId="34BA82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vAlign w:val="top"/>
          </w:tcPr>
          <w:p w14:paraId="76B0113A">
            <w:pPr>
              <w:jc w:val="left"/>
              <w:rPr>
                <w:sz w:val="22"/>
                <w:szCs w:val="22"/>
              </w:rPr>
            </w:pPr>
            <w:r>
              <w:rPr>
                <w:sz w:val="22"/>
                <w:szCs w:val="22"/>
              </w:rPr>
              <w:t>成交供应商（项目负责人）确认签名：</w:t>
            </w:r>
          </w:p>
        </w:tc>
      </w:tr>
    </w:tbl>
    <w:p w14:paraId="3128867C">
      <w:pPr>
        <w:pStyle w:val="23"/>
        <w:numPr>
          <w:ilvl w:val="0"/>
          <w:numId w:val="0"/>
        </w:numPr>
        <w:jc w:val="both"/>
        <w:rPr>
          <w:sz w:val="22"/>
        </w:rPr>
      </w:pPr>
    </w:p>
    <w:p w14:paraId="68BB0E3C">
      <w:pPr>
        <w:pStyle w:val="23"/>
        <w:numPr>
          <w:ilvl w:val="0"/>
          <w:numId w:val="0"/>
        </w:numPr>
        <w:ind w:leftChars="0" w:firstLine="440" w:firstLineChars="200"/>
        <w:jc w:val="both"/>
        <w:rPr>
          <w:rFonts w:hint="eastAsia"/>
          <w:sz w:val="22"/>
        </w:rPr>
      </w:pPr>
      <w:r>
        <w:rPr>
          <w:rFonts w:hint="eastAsia"/>
          <w:sz w:val="22"/>
        </w:rPr>
        <w:t>（</w:t>
      </w:r>
      <w:r>
        <w:rPr>
          <w:rFonts w:hint="eastAsia"/>
          <w:sz w:val="22"/>
          <w:lang w:val="en-US" w:eastAsia="zh-CN"/>
        </w:rPr>
        <w:t>二</w:t>
      </w:r>
      <w:r>
        <w:rPr>
          <w:rFonts w:hint="eastAsia"/>
          <w:sz w:val="22"/>
        </w:rPr>
        <w:t>）</w:t>
      </w:r>
      <w:r>
        <w:rPr>
          <w:rFonts w:hint="eastAsia"/>
          <w:sz w:val="22"/>
          <w:lang w:val="en-US" w:eastAsia="zh-CN"/>
        </w:rPr>
        <w:t>甲方</w:t>
      </w:r>
      <w:r>
        <w:rPr>
          <w:rFonts w:hint="eastAsia"/>
          <w:sz w:val="22"/>
        </w:rPr>
        <w:t>每月根据《广东省工人医院车辆租赁服务质量月度考核表》进行一次服务质量考核验收。量化考评以“月”为计分周期，总分为100分。得分≥90分</w:t>
      </w:r>
      <w:r>
        <w:rPr>
          <w:rFonts w:hint="eastAsia"/>
          <w:sz w:val="22"/>
          <w:lang w:val="en-US" w:eastAsia="zh-CN"/>
        </w:rPr>
        <w:t>为合格</w:t>
      </w:r>
      <w:r>
        <w:rPr>
          <w:rFonts w:hint="eastAsia"/>
          <w:sz w:val="22"/>
        </w:rPr>
        <w:t>，得分＜90分</w:t>
      </w:r>
      <w:r>
        <w:rPr>
          <w:rFonts w:hint="eastAsia"/>
          <w:sz w:val="22"/>
          <w:lang w:val="en-US" w:eastAsia="zh-CN"/>
        </w:rPr>
        <w:t>为不合格</w:t>
      </w:r>
      <w:r>
        <w:rPr>
          <w:rFonts w:hint="eastAsia"/>
          <w:sz w:val="22"/>
          <w:lang w:eastAsia="zh-CN"/>
        </w:rPr>
        <w:t>，</w:t>
      </w:r>
      <w:r>
        <w:rPr>
          <w:rFonts w:hint="eastAsia"/>
          <w:sz w:val="22"/>
        </w:rPr>
        <w:t>考核结果与服务费挂钩</w:t>
      </w:r>
      <w:r>
        <w:rPr>
          <w:rFonts w:hint="eastAsia"/>
          <w:sz w:val="22"/>
          <w:lang w:eastAsia="zh-CN"/>
        </w:rPr>
        <w:t>。</w:t>
      </w:r>
    </w:p>
    <w:p w14:paraId="350959A0">
      <w:pPr>
        <w:pStyle w:val="23"/>
        <w:ind w:firstLine="480"/>
        <w:jc w:val="both"/>
        <w:rPr>
          <w:sz w:val="22"/>
        </w:rPr>
      </w:pPr>
      <w:r>
        <w:rPr>
          <w:sz w:val="22"/>
        </w:rPr>
        <w:t>（</w:t>
      </w:r>
      <w:r>
        <w:rPr>
          <w:rFonts w:hint="eastAsia"/>
          <w:sz w:val="22"/>
          <w:lang w:val="en-US" w:eastAsia="zh-CN"/>
        </w:rPr>
        <w:t>三</w:t>
      </w:r>
      <w:r>
        <w:rPr>
          <w:sz w:val="22"/>
        </w:rPr>
        <w:t>）对需整改的考评项目，</w:t>
      </w:r>
      <w:r>
        <w:rPr>
          <w:rFonts w:hint="eastAsia"/>
          <w:sz w:val="22"/>
          <w:lang w:val="en-US" w:eastAsia="zh-CN"/>
        </w:rPr>
        <w:t>甲方</w:t>
      </w:r>
      <w:r>
        <w:rPr>
          <w:sz w:val="22"/>
        </w:rPr>
        <w:t>以书面形式向</w:t>
      </w:r>
      <w:r>
        <w:rPr>
          <w:rFonts w:hint="eastAsia"/>
          <w:sz w:val="22"/>
          <w:lang w:val="en-US" w:eastAsia="zh-CN"/>
        </w:rPr>
        <w:t>乙方</w:t>
      </w:r>
      <w:r>
        <w:rPr>
          <w:sz w:val="22"/>
        </w:rPr>
        <w:t>发出整改通知，</w:t>
      </w:r>
      <w:r>
        <w:rPr>
          <w:rFonts w:hint="eastAsia"/>
          <w:sz w:val="22"/>
          <w:lang w:val="en-US" w:eastAsia="zh-CN"/>
        </w:rPr>
        <w:t>乙方</w:t>
      </w:r>
      <w:r>
        <w:rPr>
          <w:sz w:val="22"/>
        </w:rPr>
        <w:t>须在接到书面通知后7天内作出整改方案及承诺，并提交</w:t>
      </w:r>
      <w:r>
        <w:rPr>
          <w:rFonts w:hint="eastAsia"/>
          <w:sz w:val="22"/>
          <w:lang w:val="en-US" w:eastAsia="zh-CN"/>
        </w:rPr>
        <w:t>甲方</w:t>
      </w:r>
      <w:r>
        <w:rPr>
          <w:sz w:val="22"/>
        </w:rPr>
        <w:t>确认。</w:t>
      </w:r>
    </w:p>
    <w:p w14:paraId="69A19F79">
      <w:pPr>
        <w:pStyle w:val="23"/>
        <w:ind w:firstLine="480"/>
        <w:jc w:val="center"/>
        <w:rPr>
          <w:rFonts w:hint="default"/>
        </w:rPr>
      </w:pPr>
      <w:r>
        <w:rPr>
          <w:b/>
          <w:sz w:val="22"/>
        </w:rPr>
        <w:t>六、合同金额、履约保证金及付款方式</w:t>
      </w:r>
    </w:p>
    <w:p w14:paraId="786FD5B9">
      <w:pPr>
        <w:pStyle w:val="23"/>
        <w:ind w:firstLine="480"/>
        <w:jc w:val="both"/>
        <w:rPr>
          <w:rFonts w:hint="default"/>
        </w:rPr>
      </w:pPr>
      <w:r>
        <w:rPr>
          <w:b/>
          <w:sz w:val="22"/>
        </w:rPr>
        <w:t>第十条合同金额</w:t>
      </w:r>
    </w:p>
    <w:p w14:paraId="75670234">
      <w:pPr>
        <w:pStyle w:val="23"/>
        <w:ind w:firstLine="480"/>
        <w:jc w:val="both"/>
        <w:rPr>
          <w:rFonts w:hint="default"/>
        </w:rPr>
      </w:pPr>
      <w:r>
        <w:rPr>
          <w:sz w:val="22"/>
        </w:rPr>
        <w:t>（一）合同金额</w:t>
      </w:r>
    </w:p>
    <w:p w14:paraId="6E847109">
      <w:pPr>
        <w:pStyle w:val="23"/>
        <w:ind w:firstLine="440" w:firstLineChars="200"/>
        <w:jc w:val="both"/>
        <w:rPr>
          <w:sz w:val="22"/>
        </w:rPr>
      </w:pPr>
      <w:r>
        <w:rPr>
          <w:rFonts w:hint="eastAsia"/>
          <w:sz w:val="22"/>
        </w:rPr>
        <w:t>按实际产生的服务费用结算</w:t>
      </w:r>
      <w:r>
        <w:rPr>
          <w:sz w:val="22"/>
        </w:rPr>
        <w:t>。</w:t>
      </w:r>
      <w:r>
        <w:rPr>
          <w:rFonts w:hint="eastAsia"/>
          <w:sz w:val="22"/>
        </w:rPr>
        <w:t>具体按采购文件“采购需求”的规定及乙方的</w:t>
      </w:r>
      <w:r>
        <w:rPr>
          <w:rFonts w:hint="eastAsia"/>
          <w:sz w:val="22"/>
          <w:lang w:val="en-US" w:eastAsia="zh-CN"/>
        </w:rPr>
        <w:t>响应</w:t>
      </w:r>
      <w:r>
        <w:rPr>
          <w:sz w:val="22"/>
        </w:rPr>
        <w:t>文件</w:t>
      </w:r>
      <w:r>
        <w:rPr>
          <w:rFonts w:hint="eastAsia"/>
          <w:sz w:val="22"/>
          <w:lang w:val="en-US" w:eastAsia="zh-CN"/>
        </w:rPr>
        <w:t>的</w:t>
      </w:r>
      <w:r>
        <w:rPr>
          <w:sz w:val="22"/>
        </w:rPr>
        <w:t>“</w:t>
      </w:r>
      <w:r>
        <w:rPr>
          <w:rFonts w:hint="eastAsia"/>
          <w:sz w:val="22"/>
        </w:rPr>
        <w:t>报价一览表</w:t>
      </w:r>
      <w:r>
        <w:rPr>
          <w:sz w:val="22"/>
        </w:rPr>
        <w:t>”。</w:t>
      </w:r>
    </w:p>
    <w:p w14:paraId="0BD869A3">
      <w:pPr>
        <w:pStyle w:val="23"/>
        <w:ind w:firstLine="480"/>
        <w:jc w:val="both"/>
        <w:rPr>
          <w:rFonts w:hint="default"/>
        </w:rPr>
      </w:pPr>
      <w:r>
        <w:rPr>
          <w:sz w:val="22"/>
        </w:rPr>
        <w:t>（二）直接费用</w:t>
      </w:r>
    </w:p>
    <w:p w14:paraId="085951FC">
      <w:pPr>
        <w:pStyle w:val="23"/>
        <w:ind w:firstLine="440" w:firstLineChars="200"/>
        <w:jc w:val="both"/>
        <w:rPr>
          <w:rFonts w:hint="default"/>
        </w:rPr>
      </w:pPr>
      <w:r>
        <w:rPr>
          <w:sz w:val="22"/>
        </w:rPr>
        <w:t>本项目结算</w:t>
      </w:r>
      <w:r>
        <w:rPr>
          <w:rFonts w:hint="eastAsia"/>
          <w:sz w:val="22"/>
          <w:lang w:val="en-US" w:eastAsia="zh-CN"/>
        </w:rPr>
        <w:t>价格</w:t>
      </w:r>
      <w:r>
        <w:rPr>
          <w:rFonts w:hint="eastAsia"/>
          <w:sz w:val="22"/>
        </w:rPr>
        <w:t>包括但不限于</w:t>
      </w:r>
      <w:r>
        <w:rPr>
          <w:rFonts w:hint="eastAsia"/>
          <w:sz w:val="22"/>
          <w:lang w:val="en-US" w:eastAsia="zh-CN"/>
        </w:rPr>
        <w:t>车辆年</w:t>
      </w:r>
      <w:r>
        <w:rPr>
          <w:sz w:val="22"/>
        </w:rPr>
        <w:t>检费、</w:t>
      </w:r>
      <w:r>
        <w:rPr>
          <w:rFonts w:hint="eastAsia"/>
          <w:sz w:val="22"/>
          <w:lang w:val="en-US" w:eastAsia="zh-CN"/>
        </w:rPr>
        <w:t>燃料费、客运费</w:t>
      </w:r>
      <w:r>
        <w:rPr>
          <w:sz w:val="22"/>
        </w:rPr>
        <w:t>、人员费用、</w:t>
      </w:r>
      <w:r>
        <w:rPr>
          <w:rFonts w:hint="eastAsia"/>
          <w:sz w:val="22"/>
        </w:rPr>
        <w:t>材料费、设备使用费、</w:t>
      </w:r>
      <w:r>
        <w:rPr>
          <w:sz w:val="22"/>
        </w:rPr>
        <w:t>税费、资料费、含税发票、</w:t>
      </w:r>
      <w:r>
        <w:rPr>
          <w:rFonts w:hint="eastAsia"/>
          <w:sz w:val="22"/>
        </w:rPr>
        <w:t>必须的辅助材料费及</w:t>
      </w:r>
      <w:r>
        <w:rPr>
          <w:sz w:val="22"/>
        </w:rPr>
        <w:t>合同实施过程中的应预见和不可预见费用</w:t>
      </w:r>
      <w:r>
        <w:rPr>
          <w:rFonts w:hint="eastAsia"/>
          <w:sz w:val="22"/>
        </w:rPr>
        <w:t>等全部费用，甲方不再另行支付任何费用。</w:t>
      </w:r>
    </w:p>
    <w:p w14:paraId="65AAD3C3">
      <w:pPr>
        <w:pStyle w:val="23"/>
        <w:ind w:firstLine="480"/>
        <w:jc w:val="both"/>
        <w:rPr>
          <w:rFonts w:hint="default"/>
        </w:rPr>
      </w:pPr>
      <w:r>
        <w:rPr>
          <w:sz w:val="22"/>
        </w:rPr>
        <w:t>（三）税费</w:t>
      </w:r>
    </w:p>
    <w:p w14:paraId="658AC7EA">
      <w:pPr>
        <w:pStyle w:val="23"/>
        <w:ind w:firstLine="440"/>
        <w:jc w:val="both"/>
        <w:rPr>
          <w:rFonts w:hint="default"/>
        </w:rPr>
      </w:pPr>
      <w:r>
        <w:rPr>
          <w:sz w:val="22"/>
        </w:rPr>
        <w:t>已包含在结算价格中，甲方不再另行支付费用。</w:t>
      </w:r>
    </w:p>
    <w:p w14:paraId="18244150">
      <w:pPr>
        <w:pStyle w:val="23"/>
        <w:ind w:firstLine="480"/>
        <w:jc w:val="both"/>
        <w:rPr>
          <w:rFonts w:hint="default"/>
        </w:rPr>
      </w:pPr>
      <w:r>
        <w:rPr>
          <w:b/>
          <w:sz w:val="22"/>
        </w:rPr>
        <w:t>第十一条履约保证金</w:t>
      </w:r>
    </w:p>
    <w:p w14:paraId="41EA63B8">
      <w:pPr>
        <w:pStyle w:val="23"/>
        <w:ind w:firstLine="440"/>
        <w:jc w:val="both"/>
        <w:rPr>
          <w:rFonts w:hint="default"/>
        </w:rPr>
      </w:pPr>
      <w:r>
        <w:rPr>
          <w:sz w:val="22"/>
        </w:rPr>
        <w:t>（一）乙方与甲方签订合同之日起15天内，乙方应通过本票、汇票、支票或履约保函等非现金方式向甲方提交本项目采购预算金额的</w:t>
      </w:r>
      <w:r>
        <w:rPr>
          <w:rFonts w:hint="eastAsia"/>
          <w:sz w:val="22"/>
          <w:lang w:val="en-US" w:eastAsia="zh-CN"/>
        </w:rPr>
        <w:t>1.5</w:t>
      </w:r>
      <w:r>
        <w:rPr>
          <w:sz w:val="22"/>
        </w:rPr>
        <w:t>%</w:t>
      </w:r>
      <w:r>
        <w:rPr>
          <w:rFonts w:hint="eastAsia"/>
          <w:sz w:val="22"/>
          <w:lang w:eastAsia="zh-CN"/>
        </w:rPr>
        <w:t>（</w:t>
      </w:r>
      <w:r>
        <w:rPr>
          <w:rFonts w:hint="eastAsia"/>
          <w:sz w:val="22"/>
          <w:lang w:val="en-US" w:eastAsia="zh-CN"/>
        </w:rPr>
        <w:t>即人民币12，000元）</w:t>
      </w:r>
      <w:r>
        <w:rPr>
          <w:sz w:val="22"/>
        </w:rPr>
        <w:t>作为履约保证金，履约保证金有效期应覆盖本项目服务期。</w:t>
      </w:r>
    </w:p>
    <w:p w14:paraId="58005286">
      <w:pPr>
        <w:pStyle w:val="23"/>
        <w:ind w:firstLine="440"/>
        <w:jc w:val="both"/>
        <w:rPr>
          <w:rFonts w:hint="default"/>
        </w:rPr>
      </w:pPr>
      <w:r>
        <w:rPr>
          <w:sz w:val="22"/>
        </w:rPr>
        <w:t>（二）采用本票、汇票、支票等票据方式的，若票据权利消灭日先于服务期截止日，乙方应在票据权利消灭前10天内无条件办理延期手续至服务期截止日；采用</w:t>
      </w:r>
      <w:r>
        <w:rPr>
          <w:rFonts w:hint="eastAsia"/>
          <w:sz w:val="22"/>
          <w:lang w:val="en-US" w:eastAsia="zh-CN"/>
        </w:rPr>
        <w:t>履约</w:t>
      </w:r>
      <w:r>
        <w:rPr>
          <w:sz w:val="22"/>
        </w:rPr>
        <w:t>保函方式的，乙方应在中华人民共和国境内办理银行保函。</w:t>
      </w:r>
    </w:p>
    <w:p w14:paraId="1F6ABFDD">
      <w:pPr>
        <w:pStyle w:val="23"/>
        <w:ind w:firstLine="440"/>
        <w:jc w:val="both"/>
        <w:rPr>
          <w:rFonts w:hint="default"/>
        </w:rPr>
      </w:pPr>
      <w:r>
        <w:rPr>
          <w:sz w:val="22"/>
        </w:rPr>
        <w:t>（三）保证范围：乙方以履约保证金无条件并不可撤销地担保，将按本合同及其附件的约定，保证履行合同项下的全部义务。</w:t>
      </w:r>
    </w:p>
    <w:p w14:paraId="5D4F4B50">
      <w:pPr>
        <w:pStyle w:val="23"/>
        <w:ind w:firstLine="440"/>
        <w:jc w:val="both"/>
        <w:rPr>
          <w:rFonts w:hint="default"/>
        </w:rPr>
      </w:pPr>
      <w:r>
        <w:rPr>
          <w:sz w:val="22"/>
        </w:rPr>
        <w:t>（四）发生以下情形，甲方应退还乙方票据或银行保函：</w:t>
      </w:r>
    </w:p>
    <w:p w14:paraId="46092796">
      <w:pPr>
        <w:pStyle w:val="23"/>
        <w:ind w:firstLine="440"/>
        <w:jc w:val="both"/>
        <w:rPr>
          <w:rFonts w:hint="default"/>
        </w:rPr>
      </w:pPr>
      <w:r>
        <w:rPr>
          <w:rFonts w:hint="eastAsia"/>
          <w:sz w:val="22"/>
          <w:lang w:val="en-US" w:eastAsia="zh-CN"/>
        </w:rPr>
        <w:t>1、</w:t>
      </w:r>
      <w:r>
        <w:rPr>
          <w:sz w:val="22"/>
        </w:rPr>
        <w:t>合同双方在合同期内履行了合同约定、没有违约行为，甲方应在服务期满起30天后10个工作日内无息退还乙方票据或银行保函；</w:t>
      </w:r>
    </w:p>
    <w:p w14:paraId="68407211">
      <w:pPr>
        <w:pStyle w:val="23"/>
        <w:ind w:firstLine="440"/>
        <w:jc w:val="both"/>
        <w:rPr>
          <w:rFonts w:hint="default"/>
        </w:rPr>
      </w:pPr>
      <w:r>
        <w:rPr>
          <w:rFonts w:hint="eastAsia"/>
          <w:sz w:val="22"/>
          <w:lang w:val="en-US" w:eastAsia="zh-CN"/>
        </w:rPr>
        <w:t>2、</w:t>
      </w:r>
      <w:r>
        <w:rPr>
          <w:sz w:val="22"/>
        </w:rPr>
        <w:t>甲方在合同期内因不履行合同约定等原因致使双方合同终止的，甲方应在合同终止之日起10个工作日内退还乙方票据或银行保函；</w:t>
      </w:r>
    </w:p>
    <w:p w14:paraId="0B64E872">
      <w:pPr>
        <w:pStyle w:val="23"/>
        <w:ind w:firstLine="440"/>
        <w:jc w:val="both"/>
        <w:rPr>
          <w:rFonts w:hint="default"/>
        </w:rPr>
      </w:pPr>
      <w:r>
        <w:rPr>
          <w:sz w:val="22"/>
        </w:rPr>
        <w:t>（五）履约保证金的扣除及没收：</w:t>
      </w:r>
    </w:p>
    <w:p w14:paraId="393610F7">
      <w:pPr>
        <w:pStyle w:val="23"/>
        <w:ind w:firstLine="440"/>
        <w:jc w:val="both"/>
        <w:rPr>
          <w:rFonts w:hint="default"/>
        </w:rPr>
      </w:pPr>
      <w:r>
        <w:rPr>
          <w:rFonts w:hint="eastAsia"/>
          <w:sz w:val="22"/>
          <w:lang w:val="en-US" w:eastAsia="zh-CN"/>
        </w:rPr>
        <w:t>1、</w:t>
      </w:r>
      <w:r>
        <w:rPr>
          <w:sz w:val="22"/>
        </w:rPr>
        <w:t>乙方违反合同及其附件约定的任何义务，甲方均有权在履约保证金中直接扣除乙方应向甲方支付的违约金或损失赔偿额；履约保证金不足以弥补甲方损失的，由乙方另行承担赔偿责任。</w:t>
      </w:r>
    </w:p>
    <w:p w14:paraId="6A35AC5E">
      <w:pPr>
        <w:pStyle w:val="23"/>
        <w:ind w:left="0" w:leftChars="0" w:firstLine="440" w:firstLineChars="0"/>
        <w:jc w:val="both"/>
        <w:rPr>
          <w:rFonts w:hint="default"/>
        </w:rPr>
      </w:pPr>
      <w:r>
        <w:rPr>
          <w:rFonts w:hint="eastAsia"/>
          <w:sz w:val="22"/>
          <w:lang w:val="en-US" w:eastAsia="zh-CN"/>
        </w:rPr>
        <w:t>2、</w:t>
      </w:r>
      <w:r>
        <w:rPr>
          <w:sz w:val="22"/>
        </w:rPr>
        <w:t>乙方严重违约致使双方合同终止的，甲方有权全部没收上述履约保证金，不予退还；履约保证金不足以弥补甲方损失的，由乙方另行承担赔偿责任。</w:t>
      </w:r>
    </w:p>
    <w:p w14:paraId="28228DC8">
      <w:pPr>
        <w:pStyle w:val="23"/>
        <w:ind w:firstLine="480"/>
        <w:jc w:val="both"/>
        <w:rPr>
          <w:rFonts w:hint="default"/>
        </w:rPr>
      </w:pPr>
      <w:r>
        <w:rPr>
          <w:b/>
          <w:sz w:val="22"/>
        </w:rPr>
        <w:t>第十二条付款方式</w:t>
      </w:r>
    </w:p>
    <w:p w14:paraId="533422A0">
      <w:pPr>
        <w:pStyle w:val="23"/>
        <w:ind w:firstLine="480"/>
        <w:jc w:val="both"/>
        <w:rPr>
          <w:rFonts w:hint="default"/>
        </w:rPr>
      </w:pPr>
      <w:r>
        <w:rPr>
          <w:sz w:val="22"/>
        </w:rPr>
        <w:t>（一）</w:t>
      </w:r>
      <w:r>
        <w:rPr>
          <w:rFonts w:hint="eastAsia"/>
          <w:sz w:val="22"/>
        </w:rPr>
        <w:t>服务费按每一个月结算。</w:t>
      </w:r>
    </w:p>
    <w:p w14:paraId="0B64AC36">
      <w:pPr>
        <w:pStyle w:val="23"/>
        <w:ind w:firstLine="480"/>
        <w:jc w:val="both"/>
        <w:rPr>
          <w:rFonts w:hint="default"/>
        </w:rPr>
      </w:pPr>
      <w:r>
        <w:rPr>
          <w:sz w:val="22"/>
        </w:rPr>
        <w:t>（二）乙方不得委托第三方开具发票办理结算事宜，否则甲方有权拒付。支付前，乙方应向甲方开具等额有效的增值税发票，并承担由此产生的税费，否则甲方有权拒绝付款，且不承担违约责任。</w:t>
      </w:r>
    </w:p>
    <w:p w14:paraId="302F4AFE">
      <w:pPr>
        <w:pStyle w:val="23"/>
        <w:ind w:firstLine="480"/>
        <w:jc w:val="both"/>
        <w:rPr>
          <w:rFonts w:hint="default"/>
        </w:rPr>
      </w:pPr>
      <w:r>
        <w:rPr>
          <w:sz w:val="22"/>
        </w:rPr>
        <w:t>（三）甲方以银行转账的方式支付。</w:t>
      </w:r>
    </w:p>
    <w:p w14:paraId="215CAEAB">
      <w:pPr>
        <w:pStyle w:val="23"/>
        <w:ind w:firstLine="480"/>
        <w:jc w:val="both"/>
        <w:rPr>
          <w:rFonts w:hint="default"/>
        </w:rPr>
      </w:pPr>
      <w:r>
        <w:rPr>
          <w:sz w:val="22"/>
        </w:rPr>
        <w:t>（四）如遇不可抗因素，则甲方付款日期顺延。</w:t>
      </w:r>
    </w:p>
    <w:p w14:paraId="7BA59907">
      <w:pPr>
        <w:pStyle w:val="23"/>
        <w:ind w:firstLine="480"/>
        <w:jc w:val="both"/>
        <w:rPr>
          <w:rFonts w:hint="default"/>
        </w:rPr>
      </w:pPr>
      <w:r>
        <w:rPr>
          <w:sz w:val="22"/>
        </w:rPr>
        <w:t>（五）乙方收款银行名称、地址和账号如下：</w:t>
      </w:r>
    </w:p>
    <w:p w14:paraId="1AECA99E">
      <w:pPr>
        <w:pStyle w:val="23"/>
        <w:ind w:firstLine="480"/>
        <w:jc w:val="both"/>
        <w:rPr>
          <w:rFonts w:hint="default"/>
        </w:rPr>
      </w:pPr>
      <w:r>
        <w:rPr>
          <w:sz w:val="22"/>
        </w:rPr>
        <w:t>户名：</w:t>
      </w:r>
    </w:p>
    <w:p w14:paraId="0433C07C">
      <w:pPr>
        <w:pStyle w:val="23"/>
        <w:ind w:firstLine="480"/>
        <w:jc w:val="both"/>
        <w:rPr>
          <w:rFonts w:hint="default"/>
        </w:rPr>
      </w:pPr>
      <w:r>
        <w:rPr>
          <w:sz w:val="22"/>
        </w:rPr>
        <w:t>开户银行：</w:t>
      </w:r>
    </w:p>
    <w:p w14:paraId="506BFD5C">
      <w:pPr>
        <w:pStyle w:val="23"/>
        <w:ind w:firstLine="480"/>
        <w:jc w:val="both"/>
        <w:rPr>
          <w:rFonts w:hint="default"/>
        </w:rPr>
      </w:pPr>
      <w:r>
        <w:rPr>
          <w:sz w:val="22"/>
        </w:rPr>
        <w:t>账号：</w:t>
      </w:r>
    </w:p>
    <w:p w14:paraId="59E3819F">
      <w:pPr>
        <w:pStyle w:val="23"/>
        <w:ind w:firstLine="480"/>
        <w:jc w:val="both"/>
        <w:rPr>
          <w:rFonts w:hint="default"/>
        </w:rPr>
      </w:pPr>
      <w:r>
        <w:rPr>
          <w:sz w:val="22"/>
        </w:rPr>
        <w:t>纳税人识别号：</w:t>
      </w:r>
    </w:p>
    <w:p w14:paraId="07F08A61">
      <w:pPr>
        <w:pStyle w:val="23"/>
        <w:ind w:firstLine="480"/>
        <w:jc w:val="both"/>
        <w:rPr>
          <w:rFonts w:hint="default"/>
        </w:rPr>
      </w:pPr>
      <w:r>
        <w:rPr>
          <w:sz w:val="22"/>
        </w:rPr>
        <w:t>联系电话：</w:t>
      </w:r>
    </w:p>
    <w:p w14:paraId="31F96802">
      <w:pPr>
        <w:pStyle w:val="23"/>
        <w:ind w:firstLine="480"/>
        <w:jc w:val="both"/>
        <w:rPr>
          <w:rFonts w:hint="default"/>
        </w:rPr>
      </w:pPr>
      <w:r>
        <w:rPr>
          <w:sz w:val="22"/>
        </w:rPr>
        <w:t>（六）乙方凭以下资料与甲方结算</w:t>
      </w:r>
      <w:r>
        <w:rPr>
          <w:rFonts w:hint="eastAsia"/>
          <w:sz w:val="22"/>
          <w:lang w:eastAsia="zh-CN"/>
        </w:rPr>
        <w:t>（</w:t>
      </w:r>
      <w:r>
        <w:rPr>
          <w:rFonts w:hint="eastAsia"/>
          <w:sz w:val="22"/>
        </w:rPr>
        <w:t>每月5日前提交上一月的</w:t>
      </w:r>
      <w:r>
        <w:rPr>
          <w:rFonts w:hint="eastAsia"/>
          <w:sz w:val="22"/>
          <w:lang w:val="en-US" w:eastAsia="zh-CN"/>
        </w:rPr>
        <w:t>结算资料</w:t>
      </w:r>
      <w:r>
        <w:rPr>
          <w:rFonts w:hint="eastAsia"/>
          <w:sz w:val="22"/>
          <w:lang w:eastAsia="zh-CN"/>
        </w:rPr>
        <w:t>）</w:t>
      </w:r>
      <w:r>
        <w:rPr>
          <w:sz w:val="22"/>
        </w:rPr>
        <w:t>：</w:t>
      </w:r>
    </w:p>
    <w:p w14:paraId="4817D41E">
      <w:pPr>
        <w:pStyle w:val="23"/>
        <w:ind w:firstLine="480"/>
        <w:jc w:val="both"/>
        <w:rPr>
          <w:rFonts w:hint="default"/>
        </w:rPr>
      </w:pPr>
      <w:r>
        <w:rPr>
          <w:sz w:val="22"/>
        </w:rPr>
        <w:t>1、采购合同；</w:t>
      </w:r>
    </w:p>
    <w:p w14:paraId="55315000">
      <w:pPr>
        <w:pStyle w:val="23"/>
        <w:ind w:firstLine="480"/>
        <w:jc w:val="both"/>
        <w:rPr>
          <w:rFonts w:hint="default"/>
        </w:rPr>
      </w:pPr>
      <w:r>
        <w:rPr>
          <w:sz w:val="22"/>
        </w:rPr>
        <w:t>2、甲方签字确认的验收（服务）报告；</w:t>
      </w:r>
    </w:p>
    <w:p w14:paraId="07953069">
      <w:pPr>
        <w:pStyle w:val="23"/>
        <w:ind w:firstLine="480"/>
        <w:jc w:val="both"/>
        <w:rPr>
          <w:rFonts w:hint="default" w:eastAsiaTheme="minorEastAsia"/>
          <w:sz w:val="22"/>
          <w:lang w:val="en-US" w:eastAsia="zh-CN"/>
        </w:rPr>
      </w:pPr>
      <w:r>
        <w:rPr>
          <w:sz w:val="22"/>
        </w:rPr>
        <w:t>3、</w:t>
      </w:r>
      <w:r>
        <w:rPr>
          <w:rFonts w:hint="eastAsia"/>
          <w:sz w:val="22"/>
        </w:rPr>
        <w:t>经甲方核对确认无误</w:t>
      </w:r>
      <w:r>
        <w:rPr>
          <w:rFonts w:hint="eastAsia"/>
          <w:sz w:val="22"/>
          <w:lang w:val="en-US" w:eastAsia="zh-CN"/>
        </w:rPr>
        <w:t>的车辆租赁服务清单月度报表；</w:t>
      </w:r>
    </w:p>
    <w:p w14:paraId="5FD6E651">
      <w:pPr>
        <w:pStyle w:val="23"/>
        <w:ind w:firstLine="480"/>
        <w:jc w:val="both"/>
        <w:rPr>
          <w:rFonts w:hint="default"/>
        </w:rPr>
      </w:pPr>
      <w:r>
        <w:rPr>
          <w:sz w:val="22"/>
        </w:rPr>
        <w:t>4、乙方开具的正式</w:t>
      </w:r>
      <w:r>
        <w:rPr>
          <w:rFonts w:hint="eastAsia"/>
          <w:sz w:val="22"/>
        </w:rPr>
        <w:t>税务发票原件</w:t>
      </w:r>
      <w:r>
        <w:rPr>
          <w:sz w:val="22"/>
        </w:rPr>
        <w:t>；</w:t>
      </w:r>
    </w:p>
    <w:p w14:paraId="524E94DB">
      <w:pPr>
        <w:pStyle w:val="23"/>
        <w:ind w:firstLine="480"/>
        <w:jc w:val="both"/>
        <w:rPr>
          <w:sz w:val="22"/>
        </w:rPr>
      </w:pPr>
      <w:r>
        <w:rPr>
          <w:rFonts w:hint="eastAsia"/>
          <w:sz w:val="22"/>
          <w:lang w:val="en-US" w:eastAsia="zh-CN"/>
        </w:rPr>
        <w:t>5、</w:t>
      </w:r>
      <w:r>
        <w:rPr>
          <w:sz w:val="22"/>
        </w:rPr>
        <w:t>甲方财务部门要求的其他资料。</w:t>
      </w:r>
    </w:p>
    <w:p w14:paraId="12687EBC">
      <w:pPr>
        <w:pStyle w:val="23"/>
        <w:ind w:firstLine="480"/>
        <w:jc w:val="both"/>
        <w:rPr>
          <w:rFonts w:hint="default"/>
          <w:sz w:val="22"/>
        </w:rPr>
      </w:pPr>
      <w:r>
        <w:rPr>
          <w:rFonts w:hint="eastAsia"/>
          <w:sz w:val="22"/>
        </w:rPr>
        <w:t>甲方在收到上述资料后</w:t>
      </w:r>
      <w:r>
        <w:rPr>
          <w:rFonts w:hint="eastAsia"/>
          <w:sz w:val="22"/>
          <w:lang w:val="en-US" w:eastAsia="zh-CN"/>
        </w:rPr>
        <w:t>2</w:t>
      </w:r>
      <w:r>
        <w:rPr>
          <w:rFonts w:hint="eastAsia"/>
          <w:sz w:val="22"/>
        </w:rPr>
        <w:t>0个工作日内</w:t>
      </w:r>
      <w:r>
        <w:rPr>
          <w:rFonts w:hint="eastAsia"/>
          <w:sz w:val="22"/>
          <w:lang w:val="en-US" w:eastAsia="zh-CN"/>
        </w:rPr>
        <w:t>开始</w:t>
      </w:r>
      <w:r>
        <w:rPr>
          <w:rFonts w:hint="eastAsia"/>
          <w:sz w:val="22"/>
        </w:rPr>
        <w:t>办理付款手续。</w:t>
      </w:r>
    </w:p>
    <w:p w14:paraId="2BB170D3">
      <w:pPr>
        <w:pStyle w:val="23"/>
        <w:ind w:firstLine="480"/>
        <w:jc w:val="center"/>
        <w:rPr>
          <w:rFonts w:hint="default"/>
        </w:rPr>
      </w:pPr>
      <w:r>
        <w:rPr>
          <w:b/>
          <w:sz w:val="22"/>
        </w:rPr>
        <w:t>七、解除合同与赔偿损失</w:t>
      </w:r>
    </w:p>
    <w:p w14:paraId="51420B45">
      <w:pPr>
        <w:pStyle w:val="23"/>
        <w:ind w:firstLine="480"/>
        <w:jc w:val="both"/>
        <w:rPr>
          <w:rFonts w:hint="default"/>
        </w:rPr>
      </w:pPr>
      <w:r>
        <w:rPr>
          <w:b/>
          <w:sz w:val="22"/>
        </w:rPr>
        <w:t>第十三条</w:t>
      </w:r>
      <w:r>
        <w:rPr>
          <w:sz w:val="22"/>
        </w:rPr>
        <w:t xml:space="preserve"> 乙方出现以下情形之一的，甲方有权无条件终止和解除服务合同，并要求乙方支付合同金额5%的违约金，由此产生的甲方经济损失和法律责任由乙方承担：</w:t>
      </w:r>
    </w:p>
    <w:p w14:paraId="6DB72DE1">
      <w:pPr>
        <w:pStyle w:val="23"/>
        <w:ind w:firstLine="480"/>
        <w:jc w:val="both"/>
        <w:rPr>
          <w:rFonts w:hint="default"/>
        </w:rPr>
      </w:pPr>
      <w:r>
        <w:rPr>
          <w:sz w:val="22"/>
        </w:rPr>
        <w:t>（一）乙方连续两个</w:t>
      </w:r>
      <w:r>
        <w:rPr>
          <w:rFonts w:hint="eastAsia"/>
          <w:sz w:val="22"/>
          <w:lang w:val="en-US" w:eastAsia="zh-CN"/>
        </w:rPr>
        <w:t>月</w:t>
      </w:r>
      <w:r>
        <w:rPr>
          <w:sz w:val="22"/>
        </w:rPr>
        <w:t>度或累计</w:t>
      </w:r>
      <w:r>
        <w:rPr>
          <w:rFonts w:hint="eastAsia"/>
          <w:sz w:val="22"/>
          <w:lang w:val="en-US" w:eastAsia="zh-CN"/>
        </w:rPr>
        <w:t>三</w:t>
      </w:r>
      <w:r>
        <w:rPr>
          <w:sz w:val="22"/>
        </w:rPr>
        <w:t>个</w:t>
      </w:r>
      <w:r>
        <w:rPr>
          <w:rFonts w:hint="eastAsia"/>
          <w:sz w:val="22"/>
          <w:lang w:val="en-US" w:eastAsia="zh-CN"/>
        </w:rPr>
        <w:t>月</w:t>
      </w:r>
      <w:r>
        <w:rPr>
          <w:sz w:val="22"/>
        </w:rPr>
        <w:t>度考评不合格的。</w:t>
      </w:r>
    </w:p>
    <w:p w14:paraId="27680C72">
      <w:pPr>
        <w:pStyle w:val="23"/>
        <w:ind w:firstLine="480"/>
        <w:jc w:val="both"/>
        <w:rPr>
          <w:rFonts w:hint="default"/>
        </w:rPr>
      </w:pPr>
      <w:r>
        <w:rPr>
          <w:sz w:val="22"/>
        </w:rPr>
        <w:t>（二）乙方在采购期内出现一次</w:t>
      </w:r>
      <w:r>
        <w:rPr>
          <w:rFonts w:hint="eastAsia"/>
          <w:sz w:val="22"/>
          <w:lang w:val="en-US" w:eastAsia="zh-CN"/>
        </w:rPr>
        <w:t>年检</w:t>
      </w:r>
      <w:r>
        <w:rPr>
          <w:sz w:val="22"/>
        </w:rPr>
        <w:t>不</w:t>
      </w:r>
      <w:r>
        <w:rPr>
          <w:rFonts w:hint="eastAsia"/>
          <w:sz w:val="22"/>
          <w:lang w:val="en-US" w:eastAsia="zh-CN"/>
        </w:rPr>
        <w:t>通过</w:t>
      </w:r>
      <w:r>
        <w:rPr>
          <w:sz w:val="22"/>
        </w:rPr>
        <w:t>。</w:t>
      </w:r>
    </w:p>
    <w:p w14:paraId="5DB2470E">
      <w:pPr>
        <w:pStyle w:val="23"/>
        <w:ind w:firstLine="480"/>
        <w:jc w:val="both"/>
        <w:rPr>
          <w:rFonts w:hint="default"/>
        </w:rPr>
      </w:pPr>
      <w:r>
        <w:rPr>
          <w:sz w:val="22"/>
        </w:rPr>
        <w:t>（三）乙方在采购期内</w:t>
      </w:r>
      <w:r>
        <w:rPr>
          <w:rFonts w:hint="eastAsia"/>
          <w:sz w:val="22"/>
          <w:lang w:val="en-US" w:eastAsia="zh-CN"/>
        </w:rPr>
        <w:t>投入该项目的</w:t>
      </w:r>
      <w:r>
        <w:rPr>
          <w:rFonts w:hint="eastAsia"/>
          <w:sz w:val="22"/>
        </w:rPr>
        <w:t>车辆发生一般事故</w:t>
      </w:r>
      <w:r>
        <w:rPr>
          <w:rFonts w:hint="eastAsia"/>
          <w:sz w:val="22"/>
          <w:lang w:val="en-US" w:eastAsia="zh-CN"/>
        </w:rPr>
        <w:t>2次或</w:t>
      </w:r>
      <w:r>
        <w:rPr>
          <w:rFonts w:hint="eastAsia"/>
          <w:sz w:val="22"/>
        </w:rPr>
        <w:t>发生重大</w:t>
      </w:r>
      <w:r>
        <w:rPr>
          <w:rFonts w:hint="eastAsia"/>
          <w:sz w:val="22"/>
          <w:lang w:eastAsia="zh-CN"/>
        </w:rPr>
        <w:t>、</w:t>
      </w:r>
      <w:r>
        <w:rPr>
          <w:rFonts w:hint="eastAsia"/>
          <w:sz w:val="22"/>
        </w:rPr>
        <w:t>特大事故</w:t>
      </w:r>
      <w:r>
        <w:rPr>
          <w:rFonts w:hint="eastAsia"/>
          <w:sz w:val="22"/>
          <w:lang w:val="en-US" w:eastAsia="zh-CN"/>
        </w:rPr>
        <w:t>1次的</w:t>
      </w:r>
      <w:r>
        <w:rPr>
          <w:sz w:val="22"/>
        </w:rPr>
        <w:t>等不良后果。</w:t>
      </w:r>
    </w:p>
    <w:p w14:paraId="1B5CD588">
      <w:pPr>
        <w:pStyle w:val="23"/>
        <w:ind w:firstLine="480"/>
        <w:jc w:val="both"/>
        <w:rPr>
          <w:rFonts w:hint="default"/>
        </w:rPr>
      </w:pPr>
      <w:r>
        <w:rPr>
          <w:sz w:val="22"/>
        </w:rPr>
        <w:t>（四）其他违约责任按合同相应条款约定及《中华人民共和国民法典》的规定处理。</w:t>
      </w:r>
    </w:p>
    <w:p w14:paraId="53787608">
      <w:pPr>
        <w:pStyle w:val="23"/>
        <w:ind w:firstLine="480"/>
        <w:jc w:val="center"/>
        <w:rPr>
          <w:rFonts w:hint="default"/>
        </w:rPr>
      </w:pPr>
      <w:r>
        <w:rPr>
          <w:b/>
          <w:sz w:val="22"/>
        </w:rPr>
        <w:t>八、不可抗力</w:t>
      </w:r>
    </w:p>
    <w:p w14:paraId="4F54F084">
      <w:pPr>
        <w:pStyle w:val="23"/>
        <w:ind w:firstLine="480"/>
        <w:jc w:val="both"/>
        <w:rPr>
          <w:rFonts w:hint="default"/>
        </w:rPr>
      </w:pPr>
      <w:r>
        <w:rPr>
          <w:b/>
          <w:sz w:val="22"/>
        </w:rPr>
        <w:t>第十四条</w:t>
      </w:r>
      <w:r>
        <w:rPr>
          <w:sz w:val="22"/>
        </w:rPr>
        <w:t xml:space="preserve"> 由于不可预见、不可避免、不可克服等不可抗力的原因，一方不能履行合同义务的，应当在不可抗力发生之日起3天内以书面形式通知对方，证明不可抗力事件的存在。</w:t>
      </w:r>
    </w:p>
    <w:p w14:paraId="089BC91B">
      <w:pPr>
        <w:pStyle w:val="23"/>
        <w:ind w:firstLine="480"/>
        <w:jc w:val="both"/>
        <w:rPr>
          <w:rFonts w:hint="default"/>
        </w:rPr>
      </w:pPr>
      <w:r>
        <w:rPr>
          <w:b/>
          <w:sz w:val="22"/>
        </w:rPr>
        <w:t>第十五条</w:t>
      </w:r>
      <w:r>
        <w:rPr>
          <w:sz w:val="22"/>
        </w:rPr>
        <w:t xml:space="preserve"> 不可抗力事件发生后，甲方和乙方应当积极寻求以合理的方式履行本合同。如不可抗力无法消除，致使合同目的无法实现的，双方均有权解除合同，且均不互相索赔。</w:t>
      </w:r>
    </w:p>
    <w:p w14:paraId="5B7EB96B">
      <w:pPr>
        <w:pStyle w:val="23"/>
        <w:ind w:firstLine="480"/>
        <w:jc w:val="both"/>
        <w:rPr>
          <w:rFonts w:hint="default"/>
        </w:rPr>
      </w:pPr>
      <w:r>
        <w:rPr>
          <w:b/>
          <w:sz w:val="22"/>
        </w:rPr>
        <w:t>第十六条</w:t>
      </w:r>
      <w:r>
        <w:rPr>
          <w:sz w:val="22"/>
        </w:rPr>
        <w:t xml:space="preserve"> 由于法律法规或监管政策变化而导致本合同与法律法规或监管政策相抵触时，双方根据法律法规及监管政策以书面方式协商变更本协议，协商不成或者法律法规或监管政策变化致使合同目的无法实现的，双方均有权解除合同，且均不互相索赔。</w:t>
      </w:r>
    </w:p>
    <w:p w14:paraId="279C28F2">
      <w:pPr>
        <w:pStyle w:val="23"/>
        <w:ind w:firstLine="480"/>
        <w:jc w:val="center"/>
        <w:rPr>
          <w:rFonts w:hint="default"/>
        </w:rPr>
      </w:pPr>
      <w:r>
        <w:rPr>
          <w:b/>
          <w:sz w:val="22"/>
        </w:rPr>
        <w:t>九、服务费的扣罚</w:t>
      </w:r>
    </w:p>
    <w:p w14:paraId="705A1BAC">
      <w:pPr>
        <w:pStyle w:val="23"/>
        <w:ind w:firstLine="480"/>
        <w:jc w:val="both"/>
        <w:rPr>
          <w:sz w:val="22"/>
        </w:rPr>
      </w:pPr>
      <w:r>
        <w:rPr>
          <w:b/>
          <w:sz w:val="22"/>
        </w:rPr>
        <w:t>第十七条</w:t>
      </w:r>
      <w:r>
        <w:rPr>
          <w:sz w:val="22"/>
        </w:rPr>
        <w:t xml:space="preserve"> 扣罚标准：</w:t>
      </w:r>
    </w:p>
    <w:p w14:paraId="40C7BD04">
      <w:pPr>
        <w:pStyle w:val="23"/>
        <w:ind w:firstLine="480"/>
        <w:jc w:val="both"/>
        <w:rPr>
          <w:rFonts w:hint="eastAsia"/>
          <w:sz w:val="22"/>
        </w:rPr>
      </w:pPr>
      <w:r>
        <w:rPr>
          <w:rFonts w:hint="eastAsia"/>
          <w:sz w:val="22"/>
        </w:rPr>
        <w:t>甲方每月根据《广东省工人医院车辆租赁服务质量月度考核表》进行一次服务质量考核验收。考核结果与服务费挂钩，根据相应分数扣罚服务费：</w:t>
      </w:r>
    </w:p>
    <w:p w14:paraId="572A357F">
      <w:pPr>
        <w:pStyle w:val="23"/>
        <w:ind w:firstLine="480"/>
        <w:jc w:val="both"/>
        <w:rPr>
          <w:rFonts w:hint="eastAsia"/>
          <w:sz w:val="22"/>
        </w:rPr>
      </w:pPr>
      <w:r>
        <w:rPr>
          <w:rFonts w:hint="eastAsia"/>
          <w:sz w:val="22"/>
        </w:rPr>
        <w:t>①得分≥90分的，免扣罚；</w:t>
      </w:r>
    </w:p>
    <w:p w14:paraId="68969288">
      <w:pPr>
        <w:pStyle w:val="23"/>
        <w:ind w:firstLine="480"/>
        <w:jc w:val="both"/>
        <w:rPr>
          <w:rFonts w:hint="eastAsia"/>
          <w:sz w:val="22"/>
        </w:rPr>
      </w:pPr>
      <w:r>
        <w:rPr>
          <w:rFonts w:hint="eastAsia"/>
          <w:sz w:val="22"/>
        </w:rPr>
        <w:t>②80分≤得分＜90分，每扣1分对应扣罚当月服务费1%；（列举：某月服务费20000元，得分85分，扣罚20000元×（100分－85分）×1%＝3000元）</w:t>
      </w:r>
    </w:p>
    <w:p w14:paraId="703D1D3B">
      <w:pPr>
        <w:pStyle w:val="23"/>
        <w:ind w:firstLine="480"/>
        <w:jc w:val="both"/>
        <w:rPr>
          <w:rFonts w:hint="eastAsia"/>
          <w:sz w:val="22"/>
        </w:rPr>
      </w:pPr>
      <w:r>
        <w:rPr>
          <w:rFonts w:hint="eastAsia"/>
          <w:sz w:val="22"/>
        </w:rPr>
        <w:t>③70分≤得分＜80分，每扣1分对应扣罚当月服务费1.5%；（列举：某月服务费20000元，得分75分，扣罚20000元×（100分－75分）×1.5%＝7500元）</w:t>
      </w:r>
    </w:p>
    <w:p w14:paraId="2E648693">
      <w:pPr>
        <w:pStyle w:val="23"/>
        <w:ind w:firstLine="480"/>
        <w:jc w:val="both"/>
        <w:rPr>
          <w:rFonts w:hint="eastAsia"/>
          <w:sz w:val="22"/>
        </w:rPr>
      </w:pPr>
      <w:r>
        <w:rPr>
          <w:rFonts w:hint="eastAsia"/>
          <w:sz w:val="22"/>
        </w:rPr>
        <w:t>④60分≤得分＜70分，每扣1分对应扣罚当月服务费2%；（列举：某月服务费20000元，得分65分，扣罚20000元×（100分－65分）×2%＝14000元）</w:t>
      </w:r>
    </w:p>
    <w:p w14:paraId="2CDB950C">
      <w:pPr>
        <w:pStyle w:val="23"/>
        <w:ind w:firstLine="480"/>
        <w:jc w:val="both"/>
        <w:rPr>
          <w:rFonts w:hint="default"/>
        </w:rPr>
      </w:pPr>
      <w:r>
        <w:rPr>
          <w:rFonts w:hint="eastAsia"/>
          <w:sz w:val="22"/>
        </w:rPr>
        <w:t>⑤得分＜60分，扣除当月85%服务费。</w:t>
      </w:r>
    </w:p>
    <w:p w14:paraId="7EF1AB9F">
      <w:pPr>
        <w:pStyle w:val="23"/>
        <w:ind w:firstLine="480"/>
        <w:jc w:val="both"/>
        <w:rPr>
          <w:rFonts w:hint="default"/>
        </w:rPr>
      </w:pPr>
      <w:r>
        <w:rPr>
          <w:b/>
          <w:sz w:val="22"/>
        </w:rPr>
        <w:t>第十八条</w:t>
      </w:r>
      <w:r>
        <w:rPr>
          <w:sz w:val="22"/>
        </w:rPr>
        <w:t xml:space="preserve"> 上述服务费扣罚涉及的投诉类型、过错大小、事故性质、有效性的确定由甲、乙双方另行协商予以明确，个别投诉事项可以具体个案具体明确，有分歧异议的，以甲方的意见为准。</w:t>
      </w:r>
    </w:p>
    <w:p w14:paraId="1851F0CB">
      <w:pPr>
        <w:pStyle w:val="23"/>
        <w:ind w:firstLine="480"/>
        <w:jc w:val="center"/>
        <w:rPr>
          <w:rFonts w:hint="default"/>
        </w:rPr>
      </w:pPr>
      <w:r>
        <w:rPr>
          <w:b/>
          <w:sz w:val="22"/>
        </w:rPr>
        <w:t>十、争议及解决办法</w:t>
      </w:r>
    </w:p>
    <w:p w14:paraId="1A8F634E">
      <w:pPr>
        <w:pStyle w:val="23"/>
        <w:ind w:firstLine="480"/>
        <w:jc w:val="both"/>
        <w:rPr>
          <w:rFonts w:hint="default"/>
        </w:rPr>
      </w:pPr>
      <w:r>
        <w:rPr>
          <w:b/>
          <w:sz w:val="22"/>
        </w:rPr>
        <w:t>第十九条</w:t>
      </w:r>
      <w:r>
        <w:rPr>
          <w:sz w:val="22"/>
        </w:rPr>
        <w:t xml:space="preserve"> 本合同发生争议，由双方协商，协商或调解不成时按以下第</w:t>
      </w:r>
      <w:r>
        <w:rPr>
          <w:sz w:val="22"/>
          <w:u w:val="single"/>
        </w:rPr>
        <w:t xml:space="preserve">  2  </w:t>
      </w:r>
      <w:r>
        <w:rPr>
          <w:sz w:val="22"/>
        </w:rPr>
        <w:t>种方式解决：</w:t>
      </w:r>
    </w:p>
    <w:p w14:paraId="09E16CB9">
      <w:pPr>
        <w:pStyle w:val="23"/>
        <w:ind w:firstLine="480"/>
        <w:jc w:val="both"/>
        <w:rPr>
          <w:rFonts w:hint="default"/>
        </w:rPr>
      </w:pPr>
      <w:r>
        <w:rPr>
          <w:sz w:val="22"/>
        </w:rPr>
        <w:t>1．中国广州仲裁委员会仲裁；</w:t>
      </w:r>
    </w:p>
    <w:p w14:paraId="2814B054">
      <w:pPr>
        <w:pStyle w:val="23"/>
        <w:ind w:firstLine="480"/>
        <w:jc w:val="both"/>
        <w:rPr>
          <w:rFonts w:hint="eastAsia" w:eastAsiaTheme="minorEastAsia"/>
          <w:lang w:eastAsia="zh-CN"/>
        </w:rPr>
      </w:pPr>
      <w:r>
        <w:rPr>
          <w:sz w:val="22"/>
        </w:rPr>
        <w:t>2．向甲方所在地人民法院提起诉讼</w:t>
      </w:r>
      <w:r>
        <w:rPr>
          <w:rFonts w:hint="eastAsia"/>
          <w:sz w:val="22"/>
          <w:lang w:eastAsia="zh-CN"/>
        </w:rPr>
        <w:t>；</w:t>
      </w:r>
    </w:p>
    <w:p w14:paraId="3CBD460E">
      <w:pPr>
        <w:pStyle w:val="23"/>
        <w:ind w:firstLine="480"/>
        <w:jc w:val="both"/>
        <w:rPr>
          <w:rFonts w:hint="default"/>
        </w:rPr>
      </w:pPr>
      <w:r>
        <w:rPr>
          <w:sz w:val="22"/>
        </w:rPr>
        <w:t>3．下列文件被认为是组成本合同的一部分，并互为补充和解释，如各部分文件内容存在不一致的，其效力和解释按下列排列次序，排列在先者优先适用：</w:t>
      </w:r>
    </w:p>
    <w:p w14:paraId="44356220">
      <w:pPr>
        <w:pStyle w:val="23"/>
        <w:ind w:firstLine="480"/>
        <w:jc w:val="both"/>
        <w:rPr>
          <w:rFonts w:hint="default"/>
        </w:rPr>
      </w:pPr>
      <w:r>
        <w:rPr>
          <w:sz w:val="22"/>
        </w:rPr>
        <w:t>（1）合同实施后的补充协议、纪要、备忘录；</w:t>
      </w:r>
    </w:p>
    <w:p w14:paraId="4F0233B3">
      <w:pPr>
        <w:pStyle w:val="23"/>
        <w:ind w:firstLine="480"/>
        <w:jc w:val="both"/>
        <w:rPr>
          <w:rFonts w:hint="default"/>
        </w:rPr>
      </w:pPr>
      <w:r>
        <w:rPr>
          <w:sz w:val="22"/>
        </w:rPr>
        <w:t>（2）本合同；</w:t>
      </w:r>
    </w:p>
    <w:p w14:paraId="22863E35">
      <w:pPr>
        <w:pStyle w:val="23"/>
        <w:ind w:firstLine="480"/>
        <w:jc w:val="both"/>
        <w:rPr>
          <w:rFonts w:hint="default"/>
        </w:rPr>
      </w:pPr>
      <w:r>
        <w:rPr>
          <w:sz w:val="22"/>
        </w:rPr>
        <w:t>（3）中标通知书；</w:t>
      </w:r>
    </w:p>
    <w:p w14:paraId="130D4B7A">
      <w:pPr>
        <w:pStyle w:val="23"/>
        <w:ind w:firstLine="480"/>
        <w:jc w:val="both"/>
        <w:rPr>
          <w:rFonts w:hint="default"/>
        </w:rPr>
      </w:pPr>
      <w:r>
        <w:rPr>
          <w:sz w:val="22"/>
        </w:rPr>
        <w:t>（4）</w:t>
      </w:r>
      <w:r>
        <w:rPr>
          <w:rFonts w:hint="eastAsia"/>
          <w:sz w:val="22"/>
          <w:lang w:val="en-US" w:eastAsia="zh-CN"/>
        </w:rPr>
        <w:t>采购</w:t>
      </w:r>
      <w:r>
        <w:rPr>
          <w:sz w:val="22"/>
        </w:rPr>
        <w:t>文件及其澄清、补充文件；</w:t>
      </w:r>
    </w:p>
    <w:p w14:paraId="00154118">
      <w:pPr>
        <w:pStyle w:val="23"/>
        <w:ind w:firstLine="480"/>
        <w:jc w:val="both"/>
        <w:rPr>
          <w:rFonts w:hint="default"/>
        </w:rPr>
      </w:pPr>
      <w:r>
        <w:rPr>
          <w:sz w:val="22"/>
        </w:rPr>
        <w:t>（5）</w:t>
      </w:r>
      <w:r>
        <w:rPr>
          <w:rFonts w:hint="eastAsia"/>
          <w:sz w:val="22"/>
          <w:lang w:val="en-US" w:eastAsia="zh-CN"/>
        </w:rPr>
        <w:t>采购</w:t>
      </w:r>
      <w:r>
        <w:rPr>
          <w:sz w:val="22"/>
        </w:rPr>
        <w:t>文件及其澄清、补充文件；</w:t>
      </w:r>
    </w:p>
    <w:p w14:paraId="4A6EEAEB">
      <w:pPr>
        <w:pStyle w:val="23"/>
        <w:ind w:firstLine="480"/>
        <w:jc w:val="both"/>
        <w:rPr>
          <w:rFonts w:hint="default"/>
        </w:rPr>
      </w:pPr>
      <w:r>
        <w:rPr>
          <w:sz w:val="22"/>
        </w:rPr>
        <w:t>（6）本合同附件；</w:t>
      </w:r>
    </w:p>
    <w:p w14:paraId="1C3711DE">
      <w:pPr>
        <w:pStyle w:val="23"/>
        <w:ind w:firstLine="480"/>
        <w:jc w:val="both"/>
        <w:rPr>
          <w:rFonts w:hint="default"/>
        </w:rPr>
      </w:pPr>
      <w:r>
        <w:rPr>
          <w:sz w:val="22"/>
        </w:rPr>
        <w:t>（7）标准、规范和其他有关技术文件；</w:t>
      </w:r>
    </w:p>
    <w:p w14:paraId="07B52042">
      <w:pPr>
        <w:pStyle w:val="23"/>
        <w:ind w:firstLine="480"/>
        <w:jc w:val="both"/>
        <w:rPr>
          <w:rFonts w:hint="default"/>
        </w:rPr>
      </w:pPr>
      <w:r>
        <w:rPr>
          <w:sz w:val="22"/>
        </w:rPr>
        <w:t>当合同文件出现含糊不清或不相一致，按以上排序仍不能解决的，在不影响项目合同履行进度的情况下，双方可协商解决。</w:t>
      </w:r>
    </w:p>
    <w:p w14:paraId="4AA336B4">
      <w:pPr>
        <w:pStyle w:val="23"/>
        <w:ind w:firstLine="480"/>
        <w:jc w:val="center"/>
        <w:rPr>
          <w:rFonts w:hint="default"/>
        </w:rPr>
      </w:pPr>
      <w:r>
        <w:rPr>
          <w:b/>
          <w:sz w:val="22"/>
        </w:rPr>
        <w:t>十一、检查与审计</w:t>
      </w:r>
    </w:p>
    <w:p w14:paraId="7276701A">
      <w:pPr>
        <w:pStyle w:val="23"/>
        <w:ind w:firstLine="480"/>
        <w:jc w:val="both"/>
        <w:rPr>
          <w:rFonts w:hint="default"/>
        </w:rPr>
      </w:pPr>
      <w:r>
        <w:rPr>
          <w:sz w:val="22"/>
        </w:rPr>
        <w:t>为配合监督管理部门的检查及评估合规风险的需要，甲方有权对乙方与本协议项下有关的经营情况进行调查或审计，乙方应当积极予以配合。</w:t>
      </w:r>
    </w:p>
    <w:p w14:paraId="44B7980C">
      <w:pPr>
        <w:pStyle w:val="23"/>
        <w:ind w:firstLine="480"/>
        <w:jc w:val="center"/>
        <w:rPr>
          <w:rFonts w:hint="default"/>
        </w:rPr>
      </w:pPr>
      <w:r>
        <w:rPr>
          <w:b/>
          <w:sz w:val="22"/>
        </w:rPr>
        <w:t>十二、其他</w:t>
      </w:r>
    </w:p>
    <w:p w14:paraId="5250CEEA">
      <w:pPr>
        <w:pStyle w:val="23"/>
        <w:ind w:firstLine="480"/>
        <w:jc w:val="both"/>
        <w:rPr>
          <w:rFonts w:hint="default"/>
        </w:rPr>
      </w:pPr>
      <w:r>
        <w:rPr>
          <w:b/>
          <w:sz w:val="22"/>
        </w:rPr>
        <w:t>第二十条</w:t>
      </w:r>
      <w:r>
        <w:rPr>
          <w:sz w:val="22"/>
        </w:rPr>
        <w:t xml:space="preserve"> 如一方地址、电话、传真号码有变更，应在变更三日内书面通知对方，否则，应承担相应责任。</w:t>
      </w:r>
    </w:p>
    <w:p w14:paraId="011EB696">
      <w:pPr>
        <w:pStyle w:val="23"/>
        <w:ind w:firstLine="480"/>
        <w:jc w:val="both"/>
        <w:rPr>
          <w:rFonts w:hint="default"/>
        </w:rPr>
      </w:pPr>
      <w:r>
        <w:rPr>
          <w:b/>
          <w:sz w:val="22"/>
        </w:rPr>
        <w:t>第二十一条</w:t>
      </w:r>
      <w:r>
        <w:rPr>
          <w:sz w:val="22"/>
        </w:rPr>
        <w:t xml:space="preserve"> 乙方对本合同履行过程中所知悉的甲方全部文件、资料、信息等负有保密义务，未经甲方书面同意，乙方不得擅自披露、泄露、使用或用于本合同约定之外的目的。</w:t>
      </w:r>
    </w:p>
    <w:p w14:paraId="124F483A">
      <w:pPr>
        <w:pStyle w:val="23"/>
        <w:ind w:firstLine="480"/>
        <w:jc w:val="center"/>
        <w:rPr>
          <w:rFonts w:hint="default"/>
        </w:rPr>
      </w:pPr>
      <w:r>
        <w:rPr>
          <w:b/>
          <w:sz w:val="22"/>
        </w:rPr>
        <w:t>十三、合同生效</w:t>
      </w:r>
    </w:p>
    <w:p w14:paraId="0692813D">
      <w:pPr>
        <w:pStyle w:val="23"/>
        <w:ind w:firstLine="480"/>
        <w:jc w:val="both"/>
        <w:rPr>
          <w:rFonts w:hint="default"/>
        </w:rPr>
      </w:pPr>
      <w:r>
        <w:rPr>
          <w:b/>
          <w:sz w:val="22"/>
        </w:rPr>
        <w:t>第二十二条</w:t>
      </w:r>
      <w:r>
        <w:rPr>
          <w:sz w:val="22"/>
        </w:rPr>
        <w:t xml:space="preserve"> 本合同自甲乙双方法人代表或其授权代表签字及单位盖章之日起生效。</w:t>
      </w:r>
    </w:p>
    <w:p w14:paraId="3D74A790">
      <w:pPr>
        <w:pStyle w:val="23"/>
        <w:ind w:firstLine="480"/>
        <w:jc w:val="both"/>
        <w:rPr>
          <w:rFonts w:hint="default"/>
          <w:sz w:val="22"/>
        </w:rPr>
      </w:pPr>
      <w:r>
        <w:rPr>
          <w:b/>
          <w:sz w:val="22"/>
        </w:rPr>
        <w:t>第二十三条</w:t>
      </w:r>
      <w:r>
        <w:rPr>
          <w:sz w:val="22"/>
        </w:rPr>
        <w:t xml:space="preserve"> </w:t>
      </w:r>
      <w:r>
        <w:rPr>
          <w:rFonts w:hint="eastAsia"/>
          <w:sz w:val="22"/>
        </w:rPr>
        <w:t>本合同壹式陆份，其中甲方执肆份，乙方执贰份，均具有同等的法律效力。合同自</w:t>
      </w:r>
      <w:r>
        <w:rPr>
          <w:rFonts w:hint="eastAsia"/>
          <w:sz w:val="22"/>
          <w:lang w:val="en-US" w:eastAsia="zh-CN"/>
        </w:rPr>
        <w:t>双</w:t>
      </w:r>
      <w:r>
        <w:rPr>
          <w:rFonts w:hint="eastAsia"/>
          <w:sz w:val="22"/>
        </w:rPr>
        <w:t>方签字盖章之日起即时生效。</w:t>
      </w:r>
    </w:p>
    <w:p w14:paraId="3F4D0974">
      <w:pPr>
        <w:pStyle w:val="23"/>
        <w:ind w:firstLine="480"/>
        <w:jc w:val="both"/>
        <w:rPr>
          <w:rFonts w:hint="default"/>
        </w:rPr>
      </w:pPr>
      <w:r>
        <w:rPr>
          <w:b/>
          <w:sz w:val="22"/>
        </w:rPr>
        <w:t>第二十四条</w:t>
      </w:r>
      <w:r>
        <w:rPr>
          <w:sz w:val="22"/>
        </w:rPr>
        <w:t xml:space="preserve"> </w:t>
      </w:r>
      <w:r>
        <w:rPr>
          <w:rFonts w:hint="eastAsia"/>
          <w:sz w:val="22"/>
        </w:rPr>
        <w:t>本合同未尽事宜，由双方协商处理，协商一致后签订补充协议，补充协议与本合同具有同等的法律效力。</w:t>
      </w:r>
    </w:p>
    <w:p w14:paraId="4FD3EA87">
      <w:pPr>
        <w:pStyle w:val="23"/>
        <w:ind w:firstLine="480"/>
        <w:jc w:val="both"/>
        <w:rPr>
          <w:rFonts w:hint="eastAsia"/>
          <w:sz w:val="22"/>
        </w:rPr>
      </w:pPr>
    </w:p>
    <w:p w14:paraId="26FCDAEA">
      <w:pPr>
        <w:pStyle w:val="23"/>
        <w:ind w:firstLine="480"/>
        <w:jc w:val="both"/>
        <w:rPr>
          <w:rFonts w:hint="eastAsia"/>
          <w:sz w:val="22"/>
        </w:rPr>
      </w:pPr>
    </w:p>
    <w:p w14:paraId="0F2BCCDB">
      <w:pPr>
        <w:pStyle w:val="23"/>
        <w:ind w:firstLine="480"/>
        <w:jc w:val="both"/>
        <w:rPr>
          <w:rFonts w:hint="eastAsia"/>
          <w:sz w:val="22"/>
        </w:rPr>
      </w:pPr>
    </w:p>
    <w:p w14:paraId="0A9E4E4A">
      <w:pPr>
        <w:pStyle w:val="23"/>
        <w:ind w:firstLine="480"/>
        <w:jc w:val="both"/>
        <w:rPr>
          <w:rFonts w:hint="eastAsia"/>
          <w:sz w:val="22"/>
        </w:rPr>
      </w:pPr>
      <w:r>
        <w:rPr>
          <w:rFonts w:hint="eastAsia"/>
          <w:sz w:val="22"/>
        </w:rPr>
        <w:t xml:space="preserve">甲方：广东省工人医院                 </w:t>
      </w:r>
      <w:r>
        <w:rPr>
          <w:rFonts w:hint="eastAsia"/>
          <w:sz w:val="22"/>
          <w:lang w:val="en-US" w:eastAsia="zh-CN"/>
        </w:rPr>
        <w:t xml:space="preserve">                    </w:t>
      </w:r>
      <w:r>
        <w:rPr>
          <w:rFonts w:hint="eastAsia"/>
          <w:sz w:val="22"/>
        </w:rPr>
        <w:t>乙方：</w:t>
      </w:r>
    </w:p>
    <w:p w14:paraId="53608FF6">
      <w:pPr>
        <w:pStyle w:val="23"/>
        <w:ind w:firstLine="480"/>
        <w:jc w:val="both"/>
        <w:rPr>
          <w:rFonts w:hint="eastAsia"/>
          <w:sz w:val="22"/>
        </w:rPr>
      </w:pPr>
      <w:r>
        <w:rPr>
          <w:rFonts w:hint="eastAsia"/>
          <w:sz w:val="22"/>
        </w:rPr>
        <w:t xml:space="preserve">法定代表人：               </w:t>
      </w:r>
      <w:r>
        <w:rPr>
          <w:rFonts w:hint="eastAsia"/>
          <w:sz w:val="22"/>
          <w:lang w:val="en-US" w:eastAsia="zh-CN"/>
        </w:rPr>
        <w:t xml:space="preserve">                                       </w:t>
      </w:r>
      <w:r>
        <w:rPr>
          <w:rFonts w:hint="eastAsia"/>
          <w:sz w:val="22"/>
        </w:rPr>
        <w:t xml:space="preserve"> 法定代表人：</w:t>
      </w:r>
    </w:p>
    <w:p w14:paraId="561B2855">
      <w:pPr>
        <w:pStyle w:val="23"/>
        <w:ind w:firstLine="480"/>
        <w:jc w:val="both"/>
        <w:rPr>
          <w:rFonts w:hint="eastAsia"/>
          <w:sz w:val="22"/>
        </w:rPr>
      </w:pPr>
      <w:r>
        <w:rPr>
          <w:rFonts w:hint="eastAsia"/>
          <w:sz w:val="22"/>
        </w:rPr>
        <w:t xml:space="preserve">地址：广州市黄埔区长洲街长江路320号 </w:t>
      </w:r>
      <w:r>
        <w:rPr>
          <w:rFonts w:hint="eastAsia"/>
          <w:sz w:val="22"/>
          <w:lang w:val="en-US" w:eastAsia="zh-CN"/>
        </w:rPr>
        <w:t xml:space="preserve"> </w:t>
      </w:r>
      <w:r>
        <w:rPr>
          <w:rFonts w:hint="eastAsia"/>
          <w:sz w:val="22"/>
        </w:rPr>
        <w:t>地址：</w:t>
      </w:r>
    </w:p>
    <w:p w14:paraId="1F12205B">
      <w:pPr>
        <w:pStyle w:val="23"/>
        <w:ind w:firstLine="480"/>
        <w:jc w:val="both"/>
        <w:rPr>
          <w:rFonts w:hint="eastAsia"/>
          <w:sz w:val="22"/>
        </w:rPr>
      </w:pPr>
      <w:r>
        <w:rPr>
          <w:rFonts w:hint="eastAsia"/>
          <w:sz w:val="22"/>
        </w:rPr>
        <w:t xml:space="preserve">电话：82556778                       </w:t>
      </w:r>
      <w:r>
        <w:rPr>
          <w:rFonts w:hint="eastAsia"/>
          <w:sz w:val="22"/>
          <w:lang w:val="en-US" w:eastAsia="zh-CN"/>
        </w:rPr>
        <w:t xml:space="preserve">                            </w:t>
      </w:r>
      <w:r>
        <w:rPr>
          <w:rFonts w:hint="eastAsia"/>
          <w:sz w:val="22"/>
        </w:rPr>
        <w:t>电话：</w:t>
      </w:r>
    </w:p>
    <w:p w14:paraId="57E2DB9F">
      <w:pPr>
        <w:pStyle w:val="23"/>
        <w:ind w:firstLine="480"/>
        <w:jc w:val="both"/>
        <w:rPr>
          <w:rFonts w:hint="eastAsia"/>
          <w:sz w:val="22"/>
        </w:rPr>
      </w:pPr>
      <w:r>
        <w:rPr>
          <w:rFonts w:hint="eastAsia"/>
          <w:sz w:val="22"/>
        </w:rPr>
        <w:t>传真</w:t>
      </w:r>
      <w:r>
        <w:rPr>
          <w:rFonts w:hint="eastAsia"/>
          <w:sz w:val="22"/>
          <w:lang w:eastAsia="zh-CN"/>
        </w:rPr>
        <w:t>：</w:t>
      </w:r>
      <w:r>
        <w:rPr>
          <w:rFonts w:hint="eastAsia"/>
          <w:sz w:val="22"/>
        </w:rPr>
        <w:t xml:space="preserve">                               </w:t>
      </w:r>
      <w:r>
        <w:rPr>
          <w:rFonts w:hint="eastAsia"/>
          <w:sz w:val="22"/>
          <w:lang w:val="en-US" w:eastAsia="zh-CN"/>
        </w:rPr>
        <w:t xml:space="preserve">                                      </w:t>
      </w:r>
      <w:r>
        <w:rPr>
          <w:rFonts w:hint="eastAsia"/>
          <w:sz w:val="22"/>
        </w:rPr>
        <w:t>传真：</w:t>
      </w:r>
    </w:p>
    <w:p w14:paraId="08F011A8">
      <w:pPr>
        <w:pStyle w:val="23"/>
        <w:ind w:firstLine="480"/>
        <w:jc w:val="both"/>
        <w:rPr>
          <w:rFonts w:hint="eastAsia"/>
          <w:sz w:val="22"/>
        </w:rPr>
      </w:pPr>
      <w:r>
        <w:rPr>
          <w:rFonts w:hint="eastAsia"/>
          <w:sz w:val="22"/>
        </w:rPr>
        <w:t xml:space="preserve">签约日期：     年     月     日   </w:t>
      </w:r>
      <w:r>
        <w:rPr>
          <w:rFonts w:hint="eastAsia"/>
          <w:sz w:val="22"/>
          <w:lang w:val="en-US" w:eastAsia="zh-CN"/>
        </w:rPr>
        <w:t xml:space="preserve">   </w:t>
      </w:r>
      <w:r>
        <w:rPr>
          <w:rFonts w:hint="eastAsia"/>
          <w:sz w:val="22"/>
        </w:rPr>
        <w:t xml:space="preserve"> </w:t>
      </w:r>
      <w:r>
        <w:rPr>
          <w:rFonts w:hint="eastAsia"/>
          <w:sz w:val="22"/>
          <w:lang w:val="en-US" w:eastAsia="zh-CN"/>
        </w:rPr>
        <w:t xml:space="preserve">                        </w:t>
      </w:r>
      <w:r>
        <w:rPr>
          <w:rFonts w:hint="eastAsia"/>
          <w:sz w:val="22"/>
        </w:rPr>
        <w:t xml:space="preserve"> 签约日期：       年     月    日</w:t>
      </w:r>
    </w:p>
    <w:p w14:paraId="15901B9E">
      <w:pPr>
        <w:pStyle w:val="23"/>
        <w:ind w:firstLine="480"/>
        <w:jc w:val="both"/>
        <w:rPr>
          <w:rFonts w:hint="eastAsia"/>
          <w:sz w:val="22"/>
        </w:rPr>
      </w:pPr>
      <w:r>
        <w:rPr>
          <w:rFonts w:hint="eastAsia"/>
          <w:sz w:val="22"/>
        </w:rPr>
        <w:t xml:space="preserve">开户行：工行广州黄埔军校路支行    </w:t>
      </w:r>
      <w:r>
        <w:rPr>
          <w:rFonts w:hint="eastAsia"/>
          <w:sz w:val="22"/>
          <w:lang w:val="en-US" w:eastAsia="zh-CN"/>
        </w:rPr>
        <w:t xml:space="preserve">       </w:t>
      </w:r>
      <w:r>
        <w:rPr>
          <w:rFonts w:hint="eastAsia"/>
          <w:sz w:val="22"/>
        </w:rPr>
        <w:t xml:space="preserve">   </w:t>
      </w:r>
      <w:r>
        <w:rPr>
          <w:rFonts w:hint="eastAsia"/>
          <w:sz w:val="22"/>
          <w:lang w:val="en-US" w:eastAsia="zh-CN"/>
        </w:rPr>
        <w:t xml:space="preserve">  </w:t>
      </w:r>
      <w:r>
        <w:rPr>
          <w:rFonts w:hint="eastAsia"/>
          <w:sz w:val="22"/>
        </w:rPr>
        <w:t>开户行：</w:t>
      </w:r>
    </w:p>
    <w:p w14:paraId="20247883">
      <w:pPr>
        <w:pStyle w:val="23"/>
        <w:ind w:firstLine="480"/>
        <w:jc w:val="both"/>
        <w:rPr>
          <w:sz w:val="24"/>
        </w:rPr>
      </w:pPr>
      <w:r>
        <w:rPr>
          <w:rFonts w:hint="eastAsia"/>
          <w:sz w:val="22"/>
        </w:rPr>
        <w:t xml:space="preserve">账号：3602004709000120050        </w:t>
      </w:r>
      <w:r>
        <w:rPr>
          <w:rFonts w:hint="eastAsia"/>
          <w:sz w:val="22"/>
          <w:lang w:val="en-US" w:eastAsia="zh-CN"/>
        </w:rPr>
        <w:t xml:space="preserve">  </w:t>
      </w:r>
      <w:r>
        <w:rPr>
          <w:rFonts w:hint="eastAsia"/>
          <w:sz w:val="22"/>
        </w:rPr>
        <w:t xml:space="preserve"> </w:t>
      </w:r>
      <w:r>
        <w:rPr>
          <w:rFonts w:hint="eastAsia"/>
          <w:sz w:val="22"/>
          <w:lang w:val="en-US" w:eastAsia="zh-CN"/>
        </w:rPr>
        <w:t xml:space="preserve">               </w:t>
      </w:r>
      <w:r>
        <w:rPr>
          <w:rFonts w:hint="eastAsia"/>
          <w:sz w:val="22"/>
        </w:rPr>
        <w:t xml:space="preserve"> 账号：</w:t>
      </w:r>
    </w:p>
    <w:sectPr>
      <w:footerReference r:id="rId5" w:type="default"/>
      <w:pgSz w:w="11910" w:h="16840"/>
      <w:pgMar w:top="1431" w:right="1803" w:bottom="1429" w:left="1803" w:header="0" w:footer="6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2E45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E8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F1E1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14F1E1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10C8">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1">
    <w:nsid w:val="C507273E"/>
    <w:multiLevelType w:val="singleLevel"/>
    <w:tmpl w:val="C507273E"/>
    <w:lvl w:ilvl="0" w:tentative="0">
      <w:start w:val="1"/>
      <w:numFmt w:val="decimal"/>
      <w:lvlText w:val="%1"/>
      <w:lvlJc w:val="center"/>
      <w:pPr>
        <w:tabs>
          <w:tab w:val="left" w:pos="397"/>
        </w:tabs>
        <w:ind w:left="454" w:leftChars="0" w:hanging="454" w:firstLineChars="0"/>
      </w:pPr>
      <w:rPr>
        <w:rFonts w:hint="default"/>
      </w:rPr>
    </w:lvl>
  </w:abstractNum>
  <w:abstractNum w:abstractNumId="2">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3">
    <w:nsid w:val="E5B5CF28"/>
    <w:multiLevelType w:val="singleLevel"/>
    <w:tmpl w:val="E5B5CF28"/>
    <w:lvl w:ilvl="0" w:tentative="0">
      <w:start w:val="1"/>
      <w:numFmt w:val="decimal"/>
      <w:lvlText w:val="%1"/>
      <w:lvlJc w:val="center"/>
      <w:pPr>
        <w:tabs>
          <w:tab w:val="left" w:pos="397"/>
        </w:tabs>
        <w:ind w:left="454" w:leftChars="0" w:hanging="454" w:firstLineChars="0"/>
      </w:pPr>
      <w:rPr>
        <w:rFonts w:hint="default"/>
      </w:rPr>
    </w:lvl>
  </w:abstractNum>
  <w:abstractNum w:abstractNumId="4">
    <w:nsid w:val="0789237E"/>
    <w:multiLevelType w:val="singleLevel"/>
    <w:tmpl w:val="0789237E"/>
    <w:lvl w:ilvl="0" w:tentative="0">
      <w:start w:val="1"/>
      <w:numFmt w:val="decimal"/>
      <w:lvlText w:val="%1."/>
      <w:lvlJc w:val="left"/>
      <w:pPr>
        <w:ind w:left="425" w:hanging="425"/>
      </w:pPr>
      <w:rPr>
        <w:rFonts w:hint="default"/>
      </w:rPr>
    </w:lvl>
  </w:abstractNum>
  <w:abstractNum w:abstractNumId="5">
    <w:nsid w:val="08C239BB"/>
    <w:multiLevelType w:val="multilevel"/>
    <w:tmpl w:val="08C239BB"/>
    <w:lvl w:ilvl="0" w:tentative="0">
      <w:start w:val="1"/>
      <w:numFmt w:val="chineseCountingThousand"/>
      <w:pStyle w:val="4"/>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BB479D"/>
    <w:multiLevelType w:val="multilevel"/>
    <w:tmpl w:val="2CBB479D"/>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A80A0A"/>
    <w:multiLevelType w:val="singleLevel"/>
    <w:tmpl w:val="46A80A0A"/>
    <w:lvl w:ilvl="0" w:tentative="0">
      <w:start w:val="1"/>
      <w:numFmt w:val="chineseCounting"/>
      <w:suff w:val="nothing"/>
      <w:lvlText w:val="（%1）"/>
      <w:lvlJc w:val="left"/>
      <w:rPr>
        <w:rFonts w:hint="eastAsia"/>
      </w:rPr>
    </w:lvl>
  </w:abstractNum>
  <w:abstractNum w:abstractNumId="8">
    <w:nsid w:val="6FDA3AE1"/>
    <w:multiLevelType w:val="singleLevel"/>
    <w:tmpl w:val="6FDA3AE1"/>
    <w:lvl w:ilvl="0" w:tentative="0">
      <w:start w:val="1"/>
      <w:numFmt w:val="chineseCounting"/>
      <w:suff w:val="nothing"/>
      <w:lvlText w:val="（%1）"/>
      <w:lvlJc w:val="left"/>
      <w:rPr>
        <w:rFonts w:hint="eastAsia"/>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4MGRmYTUzMzgwNDg2M2RmNTViYjVkNjM2YzU3NDMifQ=="/>
  </w:docVars>
  <w:rsids>
    <w:rsidRoot w:val="002C3762"/>
    <w:rsid w:val="00034FA7"/>
    <w:rsid w:val="00042EC7"/>
    <w:rsid w:val="000A3FB1"/>
    <w:rsid w:val="000A404E"/>
    <w:rsid w:val="00122B20"/>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5578F"/>
    <w:rsid w:val="016E2F6B"/>
    <w:rsid w:val="02223D56"/>
    <w:rsid w:val="02D00718"/>
    <w:rsid w:val="03316D3F"/>
    <w:rsid w:val="039514A8"/>
    <w:rsid w:val="049C7DEF"/>
    <w:rsid w:val="051931EE"/>
    <w:rsid w:val="05476E8D"/>
    <w:rsid w:val="05816FE5"/>
    <w:rsid w:val="059A234D"/>
    <w:rsid w:val="059A4101"/>
    <w:rsid w:val="067232CD"/>
    <w:rsid w:val="073C7668"/>
    <w:rsid w:val="08EB30F3"/>
    <w:rsid w:val="08EB6D54"/>
    <w:rsid w:val="09C20D97"/>
    <w:rsid w:val="0A3001F5"/>
    <w:rsid w:val="0AAA48E8"/>
    <w:rsid w:val="0AB67731"/>
    <w:rsid w:val="0B704E0D"/>
    <w:rsid w:val="0E0B5BF6"/>
    <w:rsid w:val="0E3E3CC5"/>
    <w:rsid w:val="0E6B25E0"/>
    <w:rsid w:val="0EE000F6"/>
    <w:rsid w:val="0EE505E5"/>
    <w:rsid w:val="0F313EDE"/>
    <w:rsid w:val="0F346E76"/>
    <w:rsid w:val="0F672DA8"/>
    <w:rsid w:val="105D3861"/>
    <w:rsid w:val="108E71AB"/>
    <w:rsid w:val="10FF5D0B"/>
    <w:rsid w:val="13A96027"/>
    <w:rsid w:val="156A6038"/>
    <w:rsid w:val="15814C5E"/>
    <w:rsid w:val="15AA32AC"/>
    <w:rsid w:val="15EF0606"/>
    <w:rsid w:val="15F035A2"/>
    <w:rsid w:val="16E318AE"/>
    <w:rsid w:val="199A216E"/>
    <w:rsid w:val="1A030919"/>
    <w:rsid w:val="1ABA7744"/>
    <w:rsid w:val="1AC87FD6"/>
    <w:rsid w:val="1AC9700C"/>
    <w:rsid w:val="1C1B3898"/>
    <w:rsid w:val="1C580648"/>
    <w:rsid w:val="1D631DC4"/>
    <w:rsid w:val="1DA75DAB"/>
    <w:rsid w:val="1DFF3A8A"/>
    <w:rsid w:val="20881BEE"/>
    <w:rsid w:val="22B86B01"/>
    <w:rsid w:val="24166CB2"/>
    <w:rsid w:val="25875AFA"/>
    <w:rsid w:val="25B74631"/>
    <w:rsid w:val="26467863"/>
    <w:rsid w:val="26E0111F"/>
    <w:rsid w:val="28216EBC"/>
    <w:rsid w:val="29611222"/>
    <w:rsid w:val="29E94DD9"/>
    <w:rsid w:val="2AD64894"/>
    <w:rsid w:val="2C8903AA"/>
    <w:rsid w:val="2CED0443"/>
    <w:rsid w:val="2DB87198"/>
    <w:rsid w:val="2E3D58F0"/>
    <w:rsid w:val="2FDE6C5E"/>
    <w:rsid w:val="305F2028"/>
    <w:rsid w:val="319121DA"/>
    <w:rsid w:val="31F431A8"/>
    <w:rsid w:val="3203195A"/>
    <w:rsid w:val="32E03E90"/>
    <w:rsid w:val="33044C2E"/>
    <w:rsid w:val="34294E27"/>
    <w:rsid w:val="34496D9C"/>
    <w:rsid w:val="348113EC"/>
    <w:rsid w:val="34E50E91"/>
    <w:rsid w:val="352C3C54"/>
    <w:rsid w:val="35A40541"/>
    <w:rsid w:val="367A1E68"/>
    <w:rsid w:val="375B541D"/>
    <w:rsid w:val="38045FD0"/>
    <w:rsid w:val="383E029A"/>
    <w:rsid w:val="38910D12"/>
    <w:rsid w:val="38CA4224"/>
    <w:rsid w:val="390F7E89"/>
    <w:rsid w:val="391D7808"/>
    <w:rsid w:val="39356C64"/>
    <w:rsid w:val="39564831"/>
    <w:rsid w:val="39652B36"/>
    <w:rsid w:val="3A13275F"/>
    <w:rsid w:val="3AB24F6F"/>
    <w:rsid w:val="3B3F2CA7"/>
    <w:rsid w:val="3CA719ED"/>
    <w:rsid w:val="3D20796B"/>
    <w:rsid w:val="3D807E30"/>
    <w:rsid w:val="40FF418D"/>
    <w:rsid w:val="41605725"/>
    <w:rsid w:val="41656898"/>
    <w:rsid w:val="41A3562C"/>
    <w:rsid w:val="42407FFD"/>
    <w:rsid w:val="42426306"/>
    <w:rsid w:val="434B7D0F"/>
    <w:rsid w:val="44142093"/>
    <w:rsid w:val="44380293"/>
    <w:rsid w:val="44894F93"/>
    <w:rsid w:val="44FC5765"/>
    <w:rsid w:val="450A60D4"/>
    <w:rsid w:val="450B59A8"/>
    <w:rsid w:val="462D1355"/>
    <w:rsid w:val="49B37B3A"/>
    <w:rsid w:val="4B5069ED"/>
    <w:rsid w:val="4BC437E9"/>
    <w:rsid w:val="4C2A6665"/>
    <w:rsid w:val="4DD077AB"/>
    <w:rsid w:val="4E32792C"/>
    <w:rsid w:val="4E6D3230"/>
    <w:rsid w:val="5005420D"/>
    <w:rsid w:val="50F11C80"/>
    <w:rsid w:val="517B2107"/>
    <w:rsid w:val="522D51B0"/>
    <w:rsid w:val="52A33962"/>
    <w:rsid w:val="545B317C"/>
    <w:rsid w:val="55607091"/>
    <w:rsid w:val="578364FC"/>
    <w:rsid w:val="57A62398"/>
    <w:rsid w:val="5B172EA1"/>
    <w:rsid w:val="5B752447"/>
    <w:rsid w:val="5BB0266F"/>
    <w:rsid w:val="5D3F737B"/>
    <w:rsid w:val="5D6B3030"/>
    <w:rsid w:val="5E834960"/>
    <w:rsid w:val="5ED53741"/>
    <w:rsid w:val="5F88085E"/>
    <w:rsid w:val="61AD00BB"/>
    <w:rsid w:val="625D724E"/>
    <w:rsid w:val="64133A6C"/>
    <w:rsid w:val="655C157C"/>
    <w:rsid w:val="6591005C"/>
    <w:rsid w:val="666474B1"/>
    <w:rsid w:val="672A5D0A"/>
    <w:rsid w:val="674D6646"/>
    <w:rsid w:val="682E59FD"/>
    <w:rsid w:val="69530D53"/>
    <w:rsid w:val="6BC2493D"/>
    <w:rsid w:val="6C221EFC"/>
    <w:rsid w:val="6C797959"/>
    <w:rsid w:val="6D4A4A10"/>
    <w:rsid w:val="6E171C14"/>
    <w:rsid w:val="6E7F7204"/>
    <w:rsid w:val="6EC66318"/>
    <w:rsid w:val="6ED07EFC"/>
    <w:rsid w:val="6F1E7F02"/>
    <w:rsid w:val="700A50C7"/>
    <w:rsid w:val="70516C52"/>
    <w:rsid w:val="71FF51FA"/>
    <w:rsid w:val="733E0CE8"/>
    <w:rsid w:val="73736FCC"/>
    <w:rsid w:val="73C05A2C"/>
    <w:rsid w:val="74E97204"/>
    <w:rsid w:val="75081F4A"/>
    <w:rsid w:val="752D5803"/>
    <w:rsid w:val="75A20899"/>
    <w:rsid w:val="75C64C11"/>
    <w:rsid w:val="769136B0"/>
    <w:rsid w:val="76CE6D0D"/>
    <w:rsid w:val="77731007"/>
    <w:rsid w:val="777E1B78"/>
    <w:rsid w:val="77D975C3"/>
    <w:rsid w:val="792F4AAF"/>
    <w:rsid w:val="794B72F4"/>
    <w:rsid w:val="7A3A7303"/>
    <w:rsid w:val="7A3E58FC"/>
    <w:rsid w:val="7B7B764C"/>
    <w:rsid w:val="7B8C6B3B"/>
    <w:rsid w:val="7C823EEA"/>
    <w:rsid w:val="7D405AD8"/>
    <w:rsid w:val="7D851E75"/>
    <w:rsid w:val="7F0E775B"/>
    <w:rsid w:val="7F350893"/>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4">
    <w:name w:val="heading 2"/>
    <w:basedOn w:val="1"/>
    <w:next w:val="1"/>
    <w:qFormat/>
    <w:uiPriority w:val="0"/>
    <w:pPr>
      <w:keepNext/>
      <w:keepLines/>
      <w:numPr>
        <w:ilvl w:val="0"/>
        <w:numId w:val="2"/>
      </w:numPr>
      <w:spacing w:before="240" w:after="240"/>
      <w:outlineLvl w:val="1"/>
    </w:pPr>
    <w:rPr>
      <w:b/>
      <w:bCs/>
      <w:szCs w:val="32"/>
    </w:rPr>
  </w:style>
  <w:style w:type="paragraph" w:styleId="5">
    <w:name w:val="heading 3"/>
    <w:next w:val="1"/>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6">
    <w:name w:val="annotation text"/>
    <w:basedOn w:val="1"/>
    <w:autoRedefine/>
    <w:qFormat/>
    <w:uiPriority w:val="0"/>
  </w:style>
  <w:style w:type="paragraph" w:styleId="7">
    <w:name w:val="Body Text Indent"/>
    <w:basedOn w:val="1"/>
    <w:autoRedefine/>
    <w:qFormat/>
    <w:uiPriority w:val="0"/>
    <w:pPr>
      <w:ind w:firstLine="830" w:firstLineChars="352"/>
    </w:pPr>
    <w:rPr>
      <w:rFonts w:ascii="仿宋_GB2312" w:hAnsi="Calibri" w:eastAsia="仿宋_GB2312" w:cs="Times New Roman"/>
      <w:sz w:val="32"/>
      <w:szCs w:val="20"/>
    </w:rPr>
  </w:style>
  <w:style w:type="paragraph" w:styleId="8">
    <w:name w:val="Plain Text"/>
    <w:basedOn w:val="1"/>
    <w:autoRedefine/>
    <w:qFormat/>
    <w:uiPriority w:val="0"/>
    <w:rPr>
      <w:rFonts w:ascii="宋体" w:hAnsi="Courier New" w:eastAsia="宋体" w:cs="Courier New"/>
    </w:rPr>
  </w:style>
  <w:style w:type="paragraph" w:styleId="9">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1">
    <w:name w:val="toc 1"/>
    <w:basedOn w:val="1"/>
    <w:next w:val="1"/>
    <w:qFormat/>
    <w:uiPriority w:val="39"/>
    <w:rPr>
      <w:rFonts w:ascii="Calibri" w:hAnsi="Calibri" w:eastAsia="宋体" w:cs="Times New Roman"/>
    </w:rPr>
  </w:style>
  <w:style w:type="paragraph" w:styleId="12">
    <w:name w:val="toc 2"/>
    <w:basedOn w:val="1"/>
    <w:next w:val="1"/>
    <w:qFormat/>
    <w:uiPriority w:val="39"/>
    <w:pPr>
      <w:tabs>
        <w:tab w:val="right" w:leader="dot" w:pos="8302"/>
      </w:tabs>
    </w:pPr>
    <w:rPr>
      <w:rFonts w:ascii="仿宋_GB2312" w:hAnsi="仿宋" w:eastAsia="仿宋_GB2312" w:cs="Times New Roman"/>
      <w:b/>
      <w:smallCaps/>
    </w:rPr>
  </w:style>
  <w:style w:type="paragraph" w:styleId="13">
    <w:name w:val="Normal (Web)"/>
    <w:basedOn w:val="1"/>
    <w:autoRedefine/>
    <w:qFormat/>
    <w:uiPriority w:val="0"/>
    <w:pPr>
      <w:spacing w:beforeAutospacing="1" w:afterAutospacing="1"/>
    </w:pPr>
    <w:rPr>
      <w:rFonts w:cs="Times New Roman"/>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styleId="20">
    <w:name w:val="List Paragraph"/>
    <w:basedOn w:val="1"/>
    <w:autoRedefine/>
    <w:qFormat/>
    <w:uiPriority w:val="99"/>
    <w:pPr>
      <w:ind w:firstLine="420" w:firstLineChars="200"/>
    </w:pPr>
  </w:style>
  <w:style w:type="paragraph" w:customStyle="1" w:styleId="21">
    <w:name w:val="WPSOffice手动目录 1"/>
    <w:qFormat/>
    <w:uiPriority w:val="0"/>
    <w:rPr>
      <w:rFonts w:ascii="Arial" w:hAnsi="Arial" w:cs="Arial" w:eastAsiaTheme="minorEastAsia"/>
      <w:lang w:val="en-US" w:eastAsia="zh-CN" w:bidi="ar-SA"/>
    </w:rPr>
  </w:style>
  <w:style w:type="paragraph" w:customStyle="1" w:styleId="22">
    <w:name w:val="WPSOffice手动目录 2"/>
    <w:autoRedefine/>
    <w:qFormat/>
    <w:uiPriority w:val="0"/>
    <w:pPr>
      <w:ind w:left="200" w:leftChars="200"/>
    </w:pPr>
    <w:rPr>
      <w:rFonts w:ascii="Arial" w:hAnsi="Arial" w:cs="Arial" w:eastAsiaTheme="minorEastAsia"/>
      <w:lang w:val="en-US" w:eastAsia="zh-CN" w:bidi="ar-SA"/>
    </w:rPr>
  </w:style>
  <w:style w:type="paragraph" w:customStyle="1" w:styleId="2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6853</Words>
  <Characters>7112</Characters>
  <Lines>19</Lines>
  <Paragraphs>5</Paragraphs>
  <TotalTime>3</TotalTime>
  <ScaleCrop>false</ScaleCrop>
  <LinksUpToDate>false</LinksUpToDate>
  <CharactersWithSpaces>7164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小謝羊羊</cp:lastModifiedBy>
  <cp:lastPrinted>2025-02-05T07:57:00Z</cp:lastPrinted>
  <dcterms:modified xsi:type="dcterms:W3CDTF">2025-02-07T06:50:44Z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2052-12.1.0.19770</vt:lpwstr>
  </property>
  <property fmtid="{D5CDD505-2E9C-101B-9397-08002B2CF9AE}" pid="6" name="ICV">
    <vt:lpwstr>596478F581F94239983B82A8D05483E0_13</vt:lpwstr>
  </property>
  <property fmtid="{D5CDD505-2E9C-101B-9397-08002B2CF9AE}" pid="7" name="KSOTemplateDocerSaveRecord">
    <vt:lpwstr>eyJoZGlkIjoiZDE4MGRmYTUzMzgwNDg2M2RmNTViYjVkNjM2YzU3NDMiLCJ1c2VySWQiOiI0MTA1MjkzNTAifQ==</vt:lpwstr>
  </property>
</Properties>
</file>