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CBC04">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32"/>
          <w:szCs w:val="24"/>
          <w:lang w:val="en-US" w:eastAsia="zh-Hans" w:bidi="ar-SA"/>
        </w:rPr>
        <w:t>合同通用条款（服务类）</w:t>
      </w:r>
    </w:p>
    <w:p w14:paraId="6715B300">
      <w:pPr>
        <w:ind w:firstLine="480"/>
        <w:jc w:val="both"/>
        <w:rPr>
          <w:rFonts w:hint="default" w:ascii="Calibri" w:hAnsi="Calibri" w:eastAsia="宋体" w:cs="Times New Roman"/>
          <w:szCs w:val="24"/>
          <w:lang w:val="en-US" w:eastAsia="zh-Hans" w:bidi="ar-SA"/>
        </w:rPr>
      </w:pPr>
    </w:p>
    <w:p w14:paraId="46810721">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4"/>
          <w:szCs w:val="24"/>
          <w:lang w:val="en-US" w:eastAsia="zh-Hans" w:bidi="ar-SA"/>
        </w:rPr>
        <w:t>注：本合同仅为合同的参考文本，合同签订双方可根据项目的具体要求进行修订，但不得偏离实质性条款。</w:t>
      </w:r>
    </w:p>
    <w:p w14:paraId="5EFB47B1">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一、总则</w:t>
      </w:r>
    </w:p>
    <w:p w14:paraId="68FA2EC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（一）</w:t>
      </w:r>
      <w:r>
        <w:rPr>
          <w:rFonts w:hint="eastAsia" w:ascii="Calibri" w:hAnsi="Calibri" w:eastAsia="宋体" w:cs="Times New Roman"/>
          <w:b/>
          <w:sz w:val="22"/>
          <w:szCs w:val="24"/>
          <w:lang w:val="en-US" w:eastAsia="zh-Hans" w:bidi="ar-SA"/>
        </w:rPr>
        <w:t>合同当事人</w:t>
      </w:r>
    </w:p>
    <w:p w14:paraId="60E2AF69">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甲  方（采购人）：</w:t>
      </w:r>
    </w:p>
    <w:p w14:paraId="737044C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电  话：           传真：        住所：</w:t>
      </w:r>
    </w:p>
    <w:p w14:paraId="350B8D3D">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乙  方（中标人）：</w:t>
      </w:r>
    </w:p>
    <w:p w14:paraId="17363C3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电  话：           传真：         住所：</w:t>
      </w:r>
    </w:p>
    <w:p w14:paraId="16B2039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 xml:space="preserve">项目名称：                                 </w:t>
      </w:r>
    </w:p>
    <w:p w14:paraId="4641B038">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根据《中华人民共和国民法典》及“&lt;#项目名称#&gt;”采购文件的要求和采购结果，经甲乙双方协商一致，签订本合同。双方共同遵守如下条款（其他有关合同项目的特定信息由合同附件予以说明，合同附件及本项目的采购文件、响应文件、中标通知书、在实施过程中双方共同签署的补充文件等均为本合同不可分割之一部分）。</w:t>
      </w:r>
    </w:p>
    <w:p w14:paraId="61123CCB">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szCs w:val="24"/>
          <w:lang w:val="en-US" w:eastAsia="zh-Hans" w:bidi="ar-SA"/>
        </w:rPr>
        <w:t>乙方提供服务的受益人为甲方，甲乙双方均应对履行本合同承担相应的责任。</w:t>
      </w:r>
    </w:p>
    <w:p w14:paraId="13B31988">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（三）</w:t>
      </w:r>
      <w:r>
        <w:rPr>
          <w:rFonts w:hint="eastAsia" w:ascii="Calibri" w:hAnsi="Calibri" w:eastAsia="宋体" w:cs="Times New Roman"/>
          <w:b/>
          <w:sz w:val="22"/>
          <w:szCs w:val="24"/>
          <w:lang w:val="en-US" w:eastAsia="zh-Hans" w:bidi="ar-SA"/>
        </w:rPr>
        <w:t>基本情况</w:t>
      </w:r>
    </w:p>
    <w:p w14:paraId="58E72B74">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服务类型：按采购文件“采购需求”的规定。</w:t>
      </w:r>
    </w:p>
    <w:p w14:paraId="7ECB9441">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服务地点：按采购文件“采购需求”的规定。</w:t>
      </w:r>
    </w:p>
    <w:p w14:paraId="6547B4E2">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二</w:t>
      </w:r>
      <w:r>
        <w:rPr>
          <w:rFonts w:hint="eastAsia" w:ascii="Calibri" w:hAnsi="Calibri" w:eastAsia="宋体" w:cs="Times New Roman"/>
          <w:b/>
          <w:sz w:val="22"/>
          <w:szCs w:val="24"/>
          <w:lang w:val="en-US" w:eastAsia="zh-Hans" w:bidi="ar-SA"/>
        </w:rPr>
        <w:t>、服务期限</w:t>
      </w:r>
    </w:p>
    <w:p w14:paraId="49EC74D7">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b/>
          <w:sz w:val="22"/>
          <w:szCs w:val="24"/>
          <w:lang w:val="en-US" w:eastAsia="zh-Hans" w:bidi="ar-SA"/>
        </w:rPr>
        <w:t>服务期限</w:t>
      </w:r>
      <w:r>
        <w:rPr>
          <w:rFonts w:hint="eastAsia" w:ascii="Calibri" w:hAnsi="Calibri" w:eastAsia="宋体" w:cs="Times New Roman"/>
          <w:sz w:val="22"/>
          <w:szCs w:val="24"/>
          <w:lang w:val="en-US" w:eastAsia="zh-Hans" w:bidi="ar-SA"/>
        </w:rPr>
        <w:t>：</w:t>
      </w:r>
      <w:r>
        <w:rPr>
          <w:rFonts w:hint="eastAsia" w:ascii="Calibri" w:hAnsi="Calibri" w:eastAsia="宋体" w:cs="Times New Roman"/>
          <w:sz w:val="22"/>
          <w:szCs w:val="24"/>
          <w:lang w:val="en-US" w:eastAsia="zh-CN" w:bidi="ar-SA"/>
        </w:rPr>
        <w:t xml:space="preserve">两年，自 </w:t>
      </w:r>
      <w:r>
        <w:rPr>
          <w:rFonts w:hint="eastAsia" w:ascii="Calibri" w:hAnsi="Calibri" w:eastAsia="宋体" w:cs="Times New Roman"/>
          <w:sz w:val="22"/>
          <w:szCs w:val="24"/>
          <w:lang w:val="en-US" w:eastAsia="zh-Hans" w:bidi="ar-SA"/>
        </w:rPr>
        <w:t xml:space="preserve">   年</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月</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日至</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年</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月</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日</w:t>
      </w:r>
      <w:r>
        <w:rPr>
          <w:rFonts w:hint="eastAsia" w:ascii="Calibri" w:hAnsi="Calibri" w:eastAsia="宋体" w:cs="Times New Roman"/>
          <w:sz w:val="22"/>
          <w:szCs w:val="24"/>
          <w:lang w:val="en-US" w:eastAsia="zh-CN" w:bidi="ar-SA"/>
        </w:rPr>
        <w:t>止</w:t>
      </w:r>
      <w:r>
        <w:rPr>
          <w:rFonts w:hint="eastAsia" w:ascii="Calibri" w:hAnsi="Calibri" w:eastAsia="宋体" w:cs="Times New Roman"/>
          <w:sz w:val="22"/>
          <w:szCs w:val="24"/>
          <w:lang w:val="en-US" w:eastAsia="zh-Hans" w:bidi="ar-SA"/>
        </w:rPr>
        <w:t>。服务满一年后对</w:t>
      </w:r>
      <w:r>
        <w:rPr>
          <w:rFonts w:hint="eastAsia" w:ascii="Calibri" w:hAnsi="Calibri" w:eastAsia="宋体" w:cs="Times New Roman"/>
          <w:sz w:val="22"/>
          <w:szCs w:val="24"/>
          <w:lang w:val="en-US" w:eastAsia="zh-CN" w:bidi="ar-SA"/>
        </w:rPr>
        <w:t>乙方</w:t>
      </w:r>
      <w:r>
        <w:rPr>
          <w:rFonts w:hint="eastAsia" w:ascii="Calibri" w:hAnsi="Calibri" w:eastAsia="宋体" w:cs="Times New Roman"/>
          <w:sz w:val="22"/>
          <w:szCs w:val="24"/>
          <w:lang w:val="en-US" w:eastAsia="zh-Hans" w:bidi="ar-SA"/>
        </w:rPr>
        <w:t>进行考核（详见合同附件2：宣传物料制作年度服务质量</w:t>
      </w:r>
      <w:r>
        <w:rPr>
          <w:rFonts w:hint="eastAsia" w:ascii="Calibri" w:hAnsi="Calibri" w:eastAsia="宋体" w:cs="Times New Roman"/>
          <w:sz w:val="22"/>
          <w:szCs w:val="24"/>
          <w:lang w:val="en-US" w:eastAsia="zh-CN" w:bidi="ar-SA"/>
        </w:rPr>
        <w:t>考核</w:t>
      </w:r>
      <w:r>
        <w:rPr>
          <w:rFonts w:hint="eastAsia" w:ascii="Calibri" w:hAnsi="Calibri" w:eastAsia="宋体" w:cs="Times New Roman"/>
          <w:sz w:val="22"/>
          <w:szCs w:val="24"/>
          <w:lang w:val="en-US" w:eastAsia="zh-Hans" w:bidi="ar-SA"/>
        </w:rPr>
        <w:t>评分表），考核合格的，</w:t>
      </w:r>
      <w:r>
        <w:rPr>
          <w:rFonts w:hint="eastAsia" w:ascii="Calibri" w:hAnsi="Calibri" w:eastAsia="宋体" w:cs="Times New Roman"/>
          <w:sz w:val="22"/>
          <w:szCs w:val="24"/>
          <w:lang w:val="en-US" w:eastAsia="zh-CN" w:bidi="ar-SA"/>
        </w:rPr>
        <w:t>乙方</w:t>
      </w:r>
      <w:r>
        <w:rPr>
          <w:rFonts w:hint="eastAsia" w:ascii="Calibri" w:hAnsi="Calibri" w:eastAsia="宋体" w:cs="Times New Roman"/>
          <w:sz w:val="22"/>
          <w:szCs w:val="24"/>
          <w:lang w:val="en-US" w:eastAsia="zh-Hans" w:bidi="ar-SA"/>
        </w:rPr>
        <w:t>继续提供第二年的服务；考核不合格的，服务合同终止，</w:t>
      </w:r>
      <w:r>
        <w:rPr>
          <w:rFonts w:hint="eastAsia" w:ascii="Calibri" w:hAnsi="Calibri" w:eastAsia="宋体" w:cs="Times New Roman"/>
          <w:sz w:val="22"/>
          <w:szCs w:val="24"/>
          <w:lang w:val="en-US" w:eastAsia="zh-CN" w:bidi="ar-SA"/>
        </w:rPr>
        <w:t>甲方</w:t>
      </w:r>
      <w:r>
        <w:rPr>
          <w:rFonts w:hint="eastAsia" w:ascii="Calibri" w:hAnsi="Calibri" w:eastAsia="宋体" w:cs="Times New Roman"/>
          <w:sz w:val="22"/>
          <w:szCs w:val="24"/>
          <w:lang w:val="en-US" w:eastAsia="zh-Hans" w:bidi="ar-SA"/>
        </w:rPr>
        <w:t>不承担任何违约责任。（自合同签订生效之日起</w:t>
      </w:r>
      <w:r>
        <w:rPr>
          <w:rFonts w:hint="eastAsia" w:ascii="Calibri" w:hAnsi="Calibri" w:eastAsia="宋体" w:cs="Times New Roman"/>
          <w:sz w:val="22"/>
          <w:szCs w:val="24"/>
          <w:lang w:val="en-US" w:eastAsia="zh-CN" w:bidi="ar-SA"/>
        </w:rPr>
        <w:t>两</w:t>
      </w:r>
      <w:r>
        <w:rPr>
          <w:rFonts w:hint="eastAsia" w:ascii="Calibri" w:hAnsi="Calibri" w:eastAsia="宋体" w:cs="Times New Roman"/>
          <w:sz w:val="22"/>
          <w:szCs w:val="24"/>
          <w:lang w:val="en-US" w:eastAsia="zh-Hans" w:bidi="ar-SA"/>
        </w:rPr>
        <w:t>年或采购金额达到99.9万元人民币为止，即以项目服务期限和项目限价先到者为准终止项目，乙方应自行充分评估、承担备货及经营风险，不得以此主张可期利益损失）</w:t>
      </w:r>
      <w:r>
        <w:rPr>
          <w:rFonts w:hint="eastAsia" w:ascii="Calibri" w:hAnsi="Calibri" w:eastAsia="宋体" w:cs="Times New Roman"/>
          <w:sz w:val="22"/>
          <w:szCs w:val="24"/>
          <w:lang w:val="en-US" w:eastAsia="zh-CN" w:bidi="ar-SA"/>
        </w:rPr>
        <w:t>。</w:t>
      </w:r>
    </w:p>
    <w:p w14:paraId="402AD267">
      <w:pPr>
        <w:numPr>
          <w:ilvl w:val="0"/>
          <w:numId w:val="1"/>
        </w:numPr>
        <w:ind w:firstLine="480"/>
        <w:jc w:val="center"/>
        <w:rPr>
          <w:rFonts w:hint="eastAsia" w:ascii="Calibri" w:hAnsi="Calibri" w:eastAsia="宋体" w:cs="Times New Roman"/>
          <w:b/>
          <w:sz w:val="22"/>
          <w:szCs w:val="24"/>
          <w:lang w:val="en-US" w:eastAsia="zh-Hans" w:bidi="ar-SA"/>
        </w:rPr>
      </w:pPr>
      <w:r>
        <w:rPr>
          <w:rFonts w:hint="eastAsia" w:ascii="Calibri" w:hAnsi="Calibri" w:eastAsia="宋体" w:cs="Times New Roman"/>
          <w:b/>
          <w:sz w:val="22"/>
          <w:szCs w:val="24"/>
          <w:lang w:val="en-US" w:eastAsia="zh-Hans" w:bidi="ar-SA"/>
        </w:rPr>
        <w:t>合同金额</w:t>
      </w:r>
    </w:p>
    <w:p w14:paraId="285974C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（一）合同金额</w:t>
      </w:r>
    </w:p>
    <w:p w14:paraId="72F576A2">
      <w:pPr>
        <w:ind w:firstLine="440" w:firstLineChars="20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按实际产生的服务费用结算。具体按采购文件“采购需求”的规定及乙方的</w:t>
      </w:r>
      <w:r>
        <w:rPr>
          <w:rFonts w:hint="eastAsia" w:ascii="Calibri" w:hAnsi="Calibri" w:eastAsia="宋体" w:cs="Times New Roman"/>
          <w:sz w:val="22"/>
          <w:szCs w:val="24"/>
          <w:lang w:val="en-US" w:eastAsia="zh-CN" w:bidi="ar-SA"/>
        </w:rPr>
        <w:t>响应</w:t>
      </w:r>
      <w:r>
        <w:rPr>
          <w:rFonts w:hint="eastAsia" w:ascii="Calibri" w:hAnsi="Calibri" w:eastAsia="宋体" w:cs="Times New Roman"/>
          <w:sz w:val="22"/>
          <w:szCs w:val="24"/>
          <w:lang w:val="en-US" w:eastAsia="zh-Hans" w:bidi="ar-SA"/>
        </w:rPr>
        <w:t>文件</w:t>
      </w:r>
      <w:r>
        <w:rPr>
          <w:rFonts w:hint="eastAsia" w:ascii="Calibri" w:hAnsi="Calibri" w:eastAsia="宋体" w:cs="Times New Roman"/>
          <w:sz w:val="22"/>
          <w:szCs w:val="24"/>
          <w:lang w:val="en-US" w:eastAsia="zh-CN" w:bidi="ar-SA"/>
        </w:rPr>
        <w:t>的报价</w:t>
      </w:r>
      <w:r>
        <w:rPr>
          <w:rFonts w:hint="eastAsia" w:ascii="Calibri" w:hAnsi="Calibri" w:eastAsia="宋体" w:cs="Times New Roman"/>
          <w:sz w:val="22"/>
          <w:szCs w:val="24"/>
          <w:lang w:val="en-US" w:eastAsia="zh-Hans" w:bidi="ar-SA"/>
        </w:rPr>
        <w:t>。</w:t>
      </w:r>
    </w:p>
    <w:p w14:paraId="3213AA92">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（二）直接费用</w:t>
      </w:r>
    </w:p>
    <w:p w14:paraId="642E566B">
      <w:pPr>
        <w:ind w:firstLine="440" w:firstLineChars="20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本项目结算</w:t>
      </w:r>
      <w:r>
        <w:rPr>
          <w:rFonts w:hint="eastAsia" w:ascii="Calibri" w:hAnsi="Calibri" w:eastAsia="宋体" w:cs="Times New Roman"/>
          <w:sz w:val="22"/>
          <w:szCs w:val="24"/>
          <w:lang w:val="en-US" w:eastAsia="zh-CN" w:bidi="ar-SA"/>
        </w:rPr>
        <w:t>价格包括但不限于设计、制作、材料、送货上门、安装、检测检修、各种税费、人工、管理费、社会保险缴纳材料、机械、运输、劳保、管理、保险（包括服务人员的人身意外险等）、专利技术、技术支持与培训、政策性文件规定及合同包含的所有风险、责任等一切费用，甲方不再另外支付任何费用。</w:t>
      </w:r>
    </w:p>
    <w:p w14:paraId="02A4F907">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四</w:t>
      </w:r>
      <w:r>
        <w:rPr>
          <w:rFonts w:hint="eastAsia" w:ascii="Calibri" w:hAnsi="Calibri" w:eastAsia="宋体" w:cs="Times New Roman"/>
          <w:b/>
          <w:sz w:val="22"/>
          <w:szCs w:val="24"/>
          <w:lang w:val="en-US" w:eastAsia="zh-Hans" w:bidi="ar-SA"/>
        </w:rPr>
        <w:t>、服务事项</w:t>
      </w:r>
    </w:p>
    <w:p w14:paraId="0DF2314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服务事项</w:t>
      </w:r>
    </w:p>
    <w:p w14:paraId="1F5918F6">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具体事项按采购文件“采购需求”的规定及乙方的投标响应。</w:t>
      </w:r>
    </w:p>
    <w:p w14:paraId="048D86C5">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五</w:t>
      </w:r>
      <w:r>
        <w:rPr>
          <w:rFonts w:hint="eastAsia" w:ascii="Calibri" w:hAnsi="Calibri" w:eastAsia="宋体" w:cs="Times New Roman"/>
          <w:b/>
          <w:sz w:val="22"/>
          <w:szCs w:val="24"/>
          <w:lang w:val="en-US" w:eastAsia="zh-Hans" w:bidi="ar-SA"/>
        </w:rPr>
        <w:t>、双方权利义务</w:t>
      </w:r>
    </w:p>
    <w:p w14:paraId="4477D39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（一）</w:t>
      </w:r>
      <w:r>
        <w:rPr>
          <w:rFonts w:hint="eastAsia" w:ascii="Calibri" w:hAnsi="Calibri" w:eastAsia="宋体" w:cs="Times New Roman"/>
          <w:b/>
          <w:sz w:val="22"/>
          <w:szCs w:val="24"/>
          <w:lang w:val="en-US" w:eastAsia="zh-Hans" w:bidi="ar-SA"/>
        </w:rPr>
        <w:t>甲方权利义务</w:t>
      </w:r>
    </w:p>
    <w:p w14:paraId="7AAF30AD">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代表和维护产权人、使用人的合法权益</w:t>
      </w:r>
      <w:r>
        <w:rPr>
          <w:rFonts w:hint="eastAsia" w:ascii="Calibri" w:hAnsi="Calibri" w:eastAsia="宋体" w:cs="Times New Roman"/>
          <w:sz w:val="22"/>
          <w:szCs w:val="24"/>
          <w:lang w:val="en-US" w:eastAsia="zh-CN" w:bidi="ar-SA"/>
        </w:rPr>
        <w:t>；</w:t>
      </w:r>
    </w:p>
    <w:p w14:paraId="5A5B7E59">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审定乙方拟定的管理制度和</w:t>
      </w:r>
      <w:r>
        <w:rPr>
          <w:rFonts w:hint="eastAsia" w:ascii="Calibri" w:hAnsi="Calibri" w:eastAsia="宋体" w:cs="Times New Roman"/>
          <w:sz w:val="22"/>
          <w:szCs w:val="24"/>
          <w:lang w:val="en-US" w:eastAsia="zh-CN" w:bidi="ar-SA"/>
        </w:rPr>
        <w:t>管理</w:t>
      </w:r>
      <w:r>
        <w:rPr>
          <w:rFonts w:hint="eastAsia" w:ascii="Calibri" w:hAnsi="Calibri" w:eastAsia="宋体" w:cs="Times New Roman"/>
          <w:sz w:val="22"/>
          <w:szCs w:val="24"/>
          <w:lang w:val="en-US" w:eastAsia="zh-Hans" w:bidi="ar-SA"/>
        </w:rPr>
        <w:t>服务年度计划，并提出合理化建议，督促乙方健全应有的制度规程、工作规范等；</w:t>
      </w:r>
    </w:p>
    <w:p w14:paraId="1B96FBB4">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3.</w:t>
      </w:r>
      <w:r>
        <w:rPr>
          <w:rFonts w:hint="eastAsia" w:ascii="Calibri" w:hAnsi="Calibri" w:eastAsia="宋体" w:cs="Times New Roman"/>
          <w:sz w:val="22"/>
          <w:szCs w:val="24"/>
          <w:lang w:val="en-US" w:eastAsia="zh-Hans" w:bidi="ar-SA"/>
        </w:rPr>
        <w:t>检查监督乙方管理工作的实施及制度的执行情况；</w:t>
      </w:r>
    </w:p>
    <w:p w14:paraId="77B29FBD">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4.</w:t>
      </w:r>
      <w:r>
        <w:rPr>
          <w:rFonts w:hint="eastAsia" w:ascii="Calibri" w:hAnsi="Calibri" w:eastAsia="宋体" w:cs="Times New Roman"/>
          <w:sz w:val="22"/>
          <w:szCs w:val="24"/>
          <w:lang w:val="en-US" w:eastAsia="zh-Hans" w:bidi="ar-SA"/>
        </w:rPr>
        <w:t>负责收集、整理管理所需全部</w:t>
      </w:r>
      <w:r>
        <w:rPr>
          <w:rFonts w:hint="eastAsia" w:ascii="Calibri" w:hAnsi="Calibri" w:eastAsia="宋体" w:cs="Times New Roman"/>
          <w:sz w:val="22"/>
          <w:szCs w:val="24"/>
          <w:lang w:val="en-US" w:eastAsia="zh-CN" w:bidi="ar-SA"/>
        </w:rPr>
        <w:t>图纸、</w:t>
      </w:r>
      <w:r>
        <w:rPr>
          <w:rFonts w:hint="eastAsia" w:ascii="Calibri" w:hAnsi="Calibri" w:eastAsia="宋体" w:cs="Times New Roman"/>
          <w:sz w:val="22"/>
          <w:szCs w:val="24"/>
          <w:lang w:val="en-US" w:eastAsia="zh-Hans" w:bidi="ar-SA"/>
        </w:rPr>
        <w:t>档案、资料</w:t>
      </w:r>
      <w:r>
        <w:rPr>
          <w:rFonts w:hint="eastAsia" w:ascii="Calibri" w:hAnsi="Calibri" w:eastAsia="宋体" w:cs="Times New Roman"/>
          <w:sz w:val="22"/>
          <w:szCs w:val="24"/>
          <w:lang w:val="en-US" w:eastAsia="zh-CN" w:bidi="ar-SA"/>
        </w:rPr>
        <w:t>等</w:t>
      </w:r>
      <w:r>
        <w:rPr>
          <w:rFonts w:hint="eastAsia" w:ascii="Calibri" w:hAnsi="Calibri" w:eastAsia="宋体" w:cs="Times New Roman"/>
          <w:sz w:val="22"/>
          <w:szCs w:val="24"/>
          <w:lang w:val="en-US" w:eastAsia="zh-Hans" w:bidi="ar-SA"/>
        </w:rPr>
        <w:t>，适时提供给乙方；</w:t>
      </w:r>
    </w:p>
    <w:p w14:paraId="1AA6FA9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5.</w:t>
      </w:r>
      <w:r>
        <w:rPr>
          <w:rFonts w:hint="eastAsia" w:ascii="Calibri" w:hAnsi="Calibri" w:eastAsia="宋体" w:cs="Times New Roman"/>
          <w:sz w:val="22"/>
          <w:szCs w:val="24"/>
          <w:lang w:val="en-US" w:eastAsia="zh-Hans" w:bidi="ar-SA"/>
        </w:rPr>
        <w:t>对乙方不称职的工作人员，甲方有权要求乙方限期更换；</w:t>
      </w:r>
    </w:p>
    <w:p w14:paraId="12E8401C">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6.</w:t>
      </w:r>
      <w:r>
        <w:rPr>
          <w:rFonts w:hint="eastAsia" w:ascii="Calibri" w:hAnsi="Calibri" w:eastAsia="宋体" w:cs="Times New Roman"/>
          <w:sz w:val="22"/>
          <w:szCs w:val="24"/>
          <w:lang w:val="en-US" w:eastAsia="zh-Hans" w:bidi="ar-SA"/>
        </w:rPr>
        <w:t>协助乙方做好管理工作；</w:t>
      </w:r>
    </w:p>
    <w:p w14:paraId="72F0300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7.</w:t>
      </w:r>
      <w:r>
        <w:rPr>
          <w:rFonts w:hint="eastAsia" w:ascii="Calibri" w:hAnsi="Calibri" w:eastAsia="宋体" w:cs="Times New Roman"/>
          <w:sz w:val="22"/>
          <w:szCs w:val="24"/>
          <w:lang w:val="en-US" w:eastAsia="zh-Hans" w:bidi="ar-SA"/>
        </w:rPr>
        <w:t>按时按采购需求的付款方式支付费用给乙方；</w:t>
      </w:r>
    </w:p>
    <w:p w14:paraId="0370B101">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8.</w:t>
      </w:r>
      <w:r>
        <w:rPr>
          <w:rFonts w:hint="eastAsia" w:ascii="Calibri" w:hAnsi="Calibri" w:eastAsia="宋体" w:cs="Times New Roman"/>
          <w:sz w:val="22"/>
          <w:szCs w:val="24"/>
          <w:lang w:val="en-US" w:eastAsia="zh-Hans" w:bidi="ar-SA"/>
        </w:rPr>
        <w:t>采购文件、响应文件及合同附件中约定的甲方</w:t>
      </w:r>
      <w:r>
        <w:rPr>
          <w:rFonts w:hint="eastAsia" w:ascii="Calibri" w:hAnsi="Calibri" w:eastAsia="宋体" w:cs="Times New Roman"/>
          <w:sz w:val="22"/>
          <w:szCs w:val="24"/>
          <w:lang w:val="en-US" w:eastAsia="zh-CN" w:bidi="ar-SA"/>
        </w:rPr>
        <w:t>其他</w:t>
      </w:r>
      <w:r>
        <w:rPr>
          <w:rFonts w:hint="eastAsia" w:ascii="Calibri" w:hAnsi="Calibri" w:eastAsia="宋体" w:cs="Times New Roman"/>
          <w:sz w:val="22"/>
          <w:szCs w:val="24"/>
          <w:lang w:val="en-US" w:eastAsia="zh-Hans" w:bidi="ar-SA"/>
        </w:rPr>
        <w:t>权利义务。</w:t>
      </w:r>
    </w:p>
    <w:p w14:paraId="1543291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（二）</w:t>
      </w:r>
      <w:r>
        <w:rPr>
          <w:rFonts w:hint="eastAsia" w:ascii="Calibri" w:hAnsi="Calibri" w:eastAsia="宋体" w:cs="Times New Roman"/>
          <w:b/>
          <w:sz w:val="22"/>
          <w:szCs w:val="24"/>
          <w:lang w:val="en-US" w:eastAsia="zh-Hans" w:bidi="ar-SA"/>
        </w:rPr>
        <w:t>乙方权利义务</w:t>
      </w:r>
    </w:p>
    <w:p w14:paraId="4C8C13E6">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根据有关法律法规及本合同的约定，制订管理制度，编制</w:t>
      </w:r>
      <w:r>
        <w:rPr>
          <w:rFonts w:hint="eastAsia" w:ascii="Calibri" w:hAnsi="Calibri" w:eastAsia="宋体" w:cs="Times New Roman"/>
          <w:sz w:val="22"/>
          <w:szCs w:val="24"/>
          <w:lang w:val="en-US" w:eastAsia="zh-CN" w:bidi="ar-SA"/>
        </w:rPr>
        <w:t>管理</w:t>
      </w:r>
      <w:r>
        <w:rPr>
          <w:rFonts w:hint="eastAsia" w:ascii="Calibri" w:hAnsi="Calibri" w:eastAsia="宋体" w:cs="Times New Roman"/>
          <w:sz w:val="22"/>
          <w:szCs w:val="24"/>
          <w:lang w:val="en-US" w:eastAsia="zh-Hans" w:bidi="ar-SA"/>
        </w:rPr>
        <w:t>年度计划，并经甲方审定后实施。</w:t>
      </w:r>
    </w:p>
    <w:p w14:paraId="34E42F6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未经甲方书面同意，不得将本项目以任何形式分包或转包给乙方之外的第三方，如有违反，甲方有权终止与乙方签订的服务合同。并限期乙方在规定的时间内移交服务项目及有关档案资料。</w:t>
      </w:r>
    </w:p>
    <w:p w14:paraId="30FB5BE2">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3.</w:t>
      </w:r>
      <w:r>
        <w:rPr>
          <w:rFonts w:hint="eastAsia" w:ascii="Calibri" w:hAnsi="Calibri" w:eastAsia="宋体" w:cs="Times New Roman"/>
          <w:sz w:val="22"/>
          <w:szCs w:val="24"/>
          <w:lang w:val="en-US" w:eastAsia="zh-Hans" w:bidi="ar-SA"/>
        </w:rPr>
        <w:t>负责编制管理年度计划。</w:t>
      </w:r>
    </w:p>
    <w:p w14:paraId="3600C24C">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4.</w:t>
      </w:r>
      <w:r>
        <w:rPr>
          <w:rFonts w:hint="eastAsia" w:ascii="Calibri" w:hAnsi="Calibri" w:eastAsia="宋体" w:cs="Times New Roman"/>
          <w:sz w:val="22"/>
          <w:szCs w:val="24"/>
          <w:lang w:val="en-US" w:eastAsia="zh-Hans" w:bidi="ar-SA"/>
        </w:rPr>
        <w:t>对乙方员工违反法规、规章的行为，有责任告知甲方处理。</w:t>
      </w:r>
    </w:p>
    <w:p w14:paraId="562AA53D">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5.</w:t>
      </w:r>
      <w:r>
        <w:rPr>
          <w:rFonts w:hint="eastAsia" w:ascii="Calibri" w:hAnsi="Calibri" w:eastAsia="宋体" w:cs="Times New Roman"/>
          <w:sz w:val="22"/>
          <w:szCs w:val="24"/>
          <w:lang w:val="en-US" w:eastAsia="zh-Hans" w:bidi="ar-SA"/>
        </w:rPr>
        <w:t>在服务过程中发生的事故应及时告知甲方；所服务的设施需要维修、保养的，应事先告知甲方。</w:t>
      </w:r>
    </w:p>
    <w:p w14:paraId="3D1207E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6.</w:t>
      </w:r>
      <w:r>
        <w:rPr>
          <w:rFonts w:hint="eastAsia" w:ascii="Calibri" w:hAnsi="Calibri" w:eastAsia="宋体" w:cs="Times New Roman"/>
          <w:sz w:val="22"/>
          <w:szCs w:val="24"/>
          <w:lang w:val="en-US" w:eastAsia="zh-Hans" w:bidi="ar-SA"/>
        </w:rPr>
        <w:t>在服务过程中对无法解决的事项或设施需要维修、保养的，要及时向甲方反映。</w:t>
      </w:r>
    </w:p>
    <w:p w14:paraId="77C4F9BC">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7.</w:t>
      </w:r>
      <w:r>
        <w:rPr>
          <w:rFonts w:hint="eastAsia" w:ascii="Calibri" w:hAnsi="Calibri" w:eastAsia="宋体" w:cs="Times New Roman"/>
          <w:sz w:val="22"/>
          <w:szCs w:val="24"/>
          <w:lang w:val="en-US" w:eastAsia="zh-Hans" w:bidi="ar-SA"/>
        </w:rPr>
        <w:t>在服务期内，乙方必须做好工作人员所需要的安全教育及安全措施，保证工作人员的安全，乙方工作人员在甲方工作范围内发生事故的一切责任由乙方负责。</w:t>
      </w:r>
    </w:p>
    <w:p w14:paraId="5AAD8793">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8.</w:t>
      </w:r>
      <w:r>
        <w:rPr>
          <w:rFonts w:hint="eastAsia" w:ascii="Calibri" w:hAnsi="Calibri" w:eastAsia="宋体" w:cs="Times New Roman"/>
          <w:sz w:val="22"/>
          <w:szCs w:val="24"/>
          <w:lang w:val="en-US" w:eastAsia="zh-Hans" w:bidi="ar-SA"/>
        </w:rPr>
        <w:t>乙方的服务人员要有符合国家规定的上岗证，要严格审查</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同时，乙方的服务人员须严格按照甲方的</w:t>
      </w:r>
      <w:r>
        <w:rPr>
          <w:rFonts w:hint="eastAsia" w:ascii="Calibri" w:hAnsi="Calibri" w:eastAsia="宋体" w:cs="Times New Roman"/>
          <w:sz w:val="22"/>
          <w:szCs w:val="24"/>
          <w:lang w:val="en-US" w:eastAsia="zh-CN" w:bidi="ar-SA"/>
        </w:rPr>
        <w:t>规章制度</w:t>
      </w:r>
      <w:r>
        <w:rPr>
          <w:rFonts w:hint="eastAsia" w:ascii="Calibri" w:hAnsi="Calibri" w:eastAsia="宋体" w:cs="Times New Roman"/>
          <w:sz w:val="22"/>
          <w:szCs w:val="24"/>
          <w:lang w:val="en-US" w:eastAsia="zh-Hans" w:bidi="ar-SA"/>
        </w:rPr>
        <w:t>提供相关服务。</w:t>
      </w:r>
    </w:p>
    <w:p w14:paraId="4E36E9F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9.</w:t>
      </w:r>
      <w:r>
        <w:rPr>
          <w:rFonts w:hint="eastAsia" w:ascii="Calibri" w:hAnsi="Calibri" w:eastAsia="宋体" w:cs="Times New Roman"/>
          <w:sz w:val="22"/>
          <w:szCs w:val="24"/>
          <w:lang w:val="en-US" w:eastAsia="zh-Hans" w:bidi="ar-SA"/>
        </w:rPr>
        <w:t>乙方员工的工资、社会保险等福利</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必须符合国家有关规定。</w:t>
      </w:r>
    </w:p>
    <w:p w14:paraId="2BBB9C14">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10.</w:t>
      </w:r>
      <w:r>
        <w:rPr>
          <w:rFonts w:hint="eastAsia" w:ascii="Calibri" w:hAnsi="Calibri" w:eastAsia="宋体" w:cs="Times New Roman"/>
          <w:sz w:val="22"/>
          <w:szCs w:val="24"/>
          <w:lang w:val="en-US" w:eastAsia="zh-Hans" w:bidi="ar-SA"/>
        </w:rPr>
        <w:t>本合同终止时，乙方必须在甲方要求的时间内及时移交本服务事项，并向甲方移交全部有关档案资料。</w:t>
      </w:r>
    </w:p>
    <w:p w14:paraId="575F66D5">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11.</w:t>
      </w:r>
      <w:r>
        <w:rPr>
          <w:rFonts w:hint="eastAsia" w:ascii="Calibri" w:hAnsi="Calibri" w:eastAsia="宋体" w:cs="Times New Roman"/>
          <w:sz w:val="22"/>
          <w:szCs w:val="24"/>
          <w:lang w:val="en-US" w:eastAsia="zh-Hans" w:bidi="ar-SA"/>
        </w:rPr>
        <w:t>采购文件及合同附件中约定的乙方</w:t>
      </w:r>
      <w:r>
        <w:rPr>
          <w:rFonts w:hint="eastAsia" w:ascii="Calibri" w:hAnsi="Calibri" w:eastAsia="宋体" w:cs="Times New Roman"/>
          <w:sz w:val="22"/>
          <w:szCs w:val="24"/>
          <w:lang w:val="en-US" w:eastAsia="zh-CN" w:bidi="ar-SA"/>
        </w:rPr>
        <w:t>其他</w:t>
      </w:r>
      <w:r>
        <w:rPr>
          <w:rFonts w:hint="eastAsia" w:ascii="Calibri" w:hAnsi="Calibri" w:eastAsia="宋体" w:cs="Times New Roman"/>
          <w:sz w:val="22"/>
          <w:szCs w:val="24"/>
          <w:lang w:val="en-US" w:eastAsia="zh-Hans" w:bidi="ar-SA"/>
        </w:rPr>
        <w:t>权利义务。</w:t>
      </w:r>
    </w:p>
    <w:p w14:paraId="01F8E2BB">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六</w:t>
      </w:r>
      <w:r>
        <w:rPr>
          <w:rFonts w:hint="eastAsia" w:ascii="Calibri" w:hAnsi="Calibri" w:eastAsia="宋体" w:cs="Times New Roman"/>
          <w:b/>
          <w:sz w:val="22"/>
          <w:szCs w:val="24"/>
          <w:lang w:val="en-US" w:eastAsia="zh-Hans" w:bidi="ar-SA"/>
        </w:rPr>
        <w:t>、服务质量</w:t>
      </w:r>
    </w:p>
    <w:p w14:paraId="441EE23F">
      <w:pPr>
        <w:ind w:firstLine="480"/>
        <w:jc w:val="both"/>
        <w:rPr>
          <w:rFonts w:hint="eastAsia" w:ascii="Calibri" w:hAnsi="Calibri" w:eastAsia="宋体" w:cs="Times New Roman"/>
          <w:b/>
          <w:sz w:val="22"/>
          <w:szCs w:val="24"/>
          <w:lang w:val="en-US" w:eastAsia="zh-Hans" w:bidi="ar-SA"/>
        </w:rPr>
      </w:pPr>
      <w:r>
        <w:rPr>
          <w:rFonts w:hint="eastAsia" w:ascii="Calibri" w:hAnsi="Calibri" w:eastAsia="宋体" w:cs="Times New Roman"/>
          <w:b/>
          <w:sz w:val="22"/>
          <w:szCs w:val="24"/>
          <w:lang w:val="en-US" w:eastAsia="zh-Hans" w:bidi="ar-SA"/>
        </w:rPr>
        <w:t>服务质量要求详见采购文件“采购需求”的规定。</w:t>
      </w:r>
    </w:p>
    <w:p w14:paraId="69A19F79">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七</w:t>
      </w:r>
      <w:r>
        <w:rPr>
          <w:rFonts w:hint="eastAsia" w:ascii="Calibri" w:hAnsi="Calibri" w:eastAsia="宋体" w:cs="Times New Roman"/>
          <w:b/>
          <w:sz w:val="22"/>
          <w:szCs w:val="24"/>
          <w:lang w:val="en-US" w:eastAsia="zh-Hans" w:bidi="ar-SA"/>
        </w:rPr>
        <w:t>、履约保证金</w:t>
      </w:r>
    </w:p>
    <w:p w14:paraId="18244150">
      <w:pPr>
        <w:tabs>
          <w:tab w:val="center" w:pos="4292"/>
        </w:tabs>
        <w:ind w:firstLine="442" w:firstLineChars="200"/>
        <w:jc w:val="both"/>
        <w:rPr>
          <w:rFonts w:hint="eastAsia" w:ascii="Calibri" w:hAnsi="Calibri" w:eastAsia="宋体" w:cs="Times New Roman"/>
          <w:b/>
          <w:sz w:val="22"/>
          <w:szCs w:val="24"/>
          <w:lang w:val="en-US" w:eastAsia="zh-CN" w:bidi="ar-SA"/>
        </w:rPr>
      </w:pPr>
      <w:r>
        <w:rPr>
          <w:rFonts w:hint="eastAsia" w:ascii="Calibri" w:hAnsi="Calibri" w:eastAsia="宋体" w:cs="Times New Roman"/>
          <w:b/>
          <w:sz w:val="22"/>
          <w:szCs w:val="24"/>
          <w:lang w:val="en-US" w:eastAsia="zh-CN" w:bidi="ar-SA"/>
        </w:rPr>
        <w:t>（一）</w:t>
      </w:r>
      <w:r>
        <w:rPr>
          <w:rFonts w:hint="eastAsia" w:ascii="Calibri" w:hAnsi="Calibri" w:eastAsia="宋体" w:cs="Times New Roman"/>
          <w:b/>
          <w:sz w:val="22"/>
          <w:szCs w:val="24"/>
          <w:lang w:val="en-US" w:eastAsia="zh-Hans" w:bidi="ar-SA"/>
        </w:rPr>
        <w:t>履约保证金</w:t>
      </w:r>
    </w:p>
    <w:p w14:paraId="4AD5EFEF">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1.</w:t>
      </w:r>
      <w:r>
        <w:rPr>
          <w:rFonts w:hint="default" w:ascii="Calibri" w:hAnsi="Calibri" w:eastAsia="宋体" w:cs="Times New Roman"/>
          <w:sz w:val="22"/>
          <w:szCs w:val="24"/>
          <w:lang w:val="en-US" w:eastAsia="zh-Hans" w:bidi="ar-SA"/>
        </w:rPr>
        <w:t>乙方提供履约担保的形式、金额及期限：</w:t>
      </w:r>
      <w:r>
        <w:rPr>
          <w:rFonts w:hint="eastAsia" w:ascii="Calibri" w:hAnsi="Calibri" w:eastAsia="宋体" w:cs="Times New Roman"/>
          <w:sz w:val="22"/>
          <w:szCs w:val="24"/>
          <w:lang w:val="en-US" w:eastAsia="zh-CN" w:bidi="ar-SA"/>
        </w:rPr>
        <w:t>乙方向甲方</w:t>
      </w:r>
      <w:r>
        <w:rPr>
          <w:rFonts w:hint="default" w:ascii="Calibri" w:hAnsi="Calibri" w:eastAsia="宋体" w:cs="Times New Roman"/>
          <w:sz w:val="22"/>
          <w:szCs w:val="24"/>
          <w:lang w:val="en-US" w:eastAsia="zh-Hans" w:bidi="ar-SA"/>
        </w:rPr>
        <w:t>提供履约担保，担保方式采用现金履约担保，</w:t>
      </w:r>
      <w:r>
        <w:rPr>
          <w:rFonts w:hint="eastAsia" w:ascii="Calibri" w:hAnsi="Calibri" w:eastAsia="宋体" w:cs="Times New Roman"/>
          <w:sz w:val="22"/>
          <w:szCs w:val="24"/>
          <w:lang w:val="en-US" w:eastAsia="zh-CN" w:bidi="ar-SA"/>
        </w:rPr>
        <w:t>乙方</w:t>
      </w:r>
      <w:r>
        <w:rPr>
          <w:rFonts w:hint="default" w:ascii="Calibri" w:hAnsi="Calibri" w:eastAsia="宋体" w:cs="Times New Roman"/>
          <w:sz w:val="22"/>
          <w:szCs w:val="24"/>
          <w:lang w:val="en-US" w:eastAsia="zh-Hans" w:bidi="ar-SA"/>
        </w:rPr>
        <w:t>自收到中标通知书之日起15日内通过银行转账的方式向</w:t>
      </w:r>
      <w:r>
        <w:rPr>
          <w:rFonts w:hint="eastAsia" w:ascii="Calibri" w:hAnsi="Calibri" w:eastAsia="宋体" w:cs="Times New Roman"/>
          <w:sz w:val="22"/>
          <w:szCs w:val="24"/>
          <w:lang w:val="en-US" w:eastAsia="zh-CN" w:bidi="ar-SA"/>
        </w:rPr>
        <w:t>甲方</w:t>
      </w:r>
      <w:r>
        <w:rPr>
          <w:rFonts w:hint="default" w:ascii="Calibri" w:hAnsi="Calibri" w:eastAsia="宋体" w:cs="Times New Roman"/>
          <w:sz w:val="22"/>
          <w:szCs w:val="24"/>
          <w:lang w:val="en-US" w:eastAsia="zh-Hans" w:bidi="ar-SA"/>
        </w:rPr>
        <w:t>提交担保金额为人民币壹万元整（RMB¥10,000.00元），履约保证金须从</w:t>
      </w:r>
      <w:r>
        <w:rPr>
          <w:rFonts w:hint="eastAsia" w:ascii="Calibri" w:hAnsi="Calibri" w:eastAsia="宋体" w:cs="Times New Roman"/>
          <w:sz w:val="22"/>
          <w:szCs w:val="24"/>
          <w:lang w:val="en-US" w:eastAsia="zh-CN" w:bidi="ar-SA"/>
        </w:rPr>
        <w:t>乙方</w:t>
      </w:r>
      <w:r>
        <w:rPr>
          <w:rFonts w:hint="default" w:ascii="Calibri" w:hAnsi="Calibri" w:eastAsia="宋体" w:cs="Times New Roman"/>
          <w:sz w:val="22"/>
          <w:szCs w:val="24"/>
          <w:lang w:val="en-US" w:eastAsia="zh-Hans" w:bidi="ar-SA"/>
        </w:rPr>
        <w:t>的银行账户转出。</w:t>
      </w:r>
    </w:p>
    <w:p w14:paraId="02471AB4">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保证范围：在合同有效期内或直至所有合同义务得到完全履行前，乙方不得撤销或撤回此担保。</w:t>
      </w:r>
    </w:p>
    <w:p w14:paraId="5D4F4B50">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3.</w:t>
      </w:r>
      <w:r>
        <w:rPr>
          <w:rFonts w:hint="eastAsia" w:ascii="Calibri" w:hAnsi="Calibri" w:eastAsia="宋体" w:cs="Times New Roman"/>
          <w:sz w:val="22"/>
          <w:szCs w:val="24"/>
          <w:lang w:val="en-US" w:eastAsia="zh-Hans" w:bidi="ar-SA"/>
        </w:rPr>
        <w:t>发生以下情形，甲方应退还乙方票据：</w:t>
      </w:r>
    </w:p>
    <w:p w14:paraId="46092796">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合同双方在合同期内履行了合同约定、没有违约行为，甲方应在服务期满起30天后</w:t>
      </w:r>
      <w:r>
        <w:rPr>
          <w:rFonts w:hint="eastAsia" w:ascii="Calibri" w:hAnsi="Calibri" w:eastAsia="宋体" w:cs="Times New Roman"/>
          <w:sz w:val="22"/>
          <w:szCs w:val="24"/>
          <w:lang w:val="en-US" w:eastAsia="zh-CN" w:bidi="ar-SA"/>
        </w:rPr>
        <w:t>20</w:t>
      </w:r>
      <w:r>
        <w:rPr>
          <w:rFonts w:hint="eastAsia" w:ascii="Calibri" w:hAnsi="Calibri" w:eastAsia="宋体" w:cs="Times New Roman"/>
          <w:sz w:val="22"/>
          <w:szCs w:val="24"/>
          <w:lang w:val="en-US" w:eastAsia="zh-Hans" w:bidi="ar-SA"/>
        </w:rPr>
        <w:t>个工作日内无息退还乙方票据；</w:t>
      </w:r>
    </w:p>
    <w:p w14:paraId="68407211">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甲方在合同期内因不履行合同约定等原因致使双方合同终止的，甲方应在合同终止之日起</w:t>
      </w:r>
      <w:r>
        <w:rPr>
          <w:rFonts w:hint="eastAsia" w:ascii="Calibri" w:hAnsi="Calibri" w:eastAsia="宋体" w:cs="Times New Roman"/>
          <w:sz w:val="22"/>
          <w:szCs w:val="24"/>
          <w:lang w:val="en-US" w:eastAsia="zh-CN" w:bidi="ar-SA"/>
        </w:rPr>
        <w:t>20</w:t>
      </w:r>
      <w:r>
        <w:rPr>
          <w:rFonts w:hint="eastAsia" w:ascii="Calibri" w:hAnsi="Calibri" w:eastAsia="宋体" w:cs="Times New Roman"/>
          <w:sz w:val="22"/>
          <w:szCs w:val="24"/>
          <w:lang w:val="en-US" w:eastAsia="zh-Hans" w:bidi="ar-SA"/>
        </w:rPr>
        <w:t>个工作日内退还乙方票据；</w:t>
      </w:r>
    </w:p>
    <w:p w14:paraId="0B64E872">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w:t>
      </w:r>
      <w:r>
        <w:rPr>
          <w:rFonts w:hint="eastAsia" w:ascii="Calibri" w:hAnsi="Calibri" w:eastAsia="宋体" w:cs="Times New Roman"/>
          <w:sz w:val="22"/>
          <w:szCs w:val="24"/>
          <w:lang w:val="en-US" w:eastAsia="zh-CN" w:bidi="ar-SA"/>
        </w:rPr>
        <w:t>二</w:t>
      </w:r>
      <w:r>
        <w:rPr>
          <w:rFonts w:hint="eastAsia" w:ascii="Calibri" w:hAnsi="Calibri" w:eastAsia="宋体" w:cs="Times New Roman"/>
          <w:sz w:val="22"/>
          <w:szCs w:val="24"/>
          <w:lang w:val="en-US" w:eastAsia="zh-Hans" w:bidi="ar-SA"/>
        </w:rPr>
        <w:t>）履约保证金的扣除及没收：</w:t>
      </w:r>
    </w:p>
    <w:p w14:paraId="393610F7">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乙方违反合同及其附件约定的任何义务，甲方均有权在履约保证金中直接扣除</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乙方应向甲方支付的违约金或损失赔偿额；履约保证金不足以弥补甲方损失的，由乙方另行承担赔偿责任。</w:t>
      </w:r>
    </w:p>
    <w:p w14:paraId="6A35AC5E">
      <w:pPr>
        <w:ind w:left="0" w:leftChars="0" w:firstLine="440" w:firstLineChars="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乙方严重违约致使双方合同终止的，甲方有权全部没收上述履约保证金，不予退还；履约保证金不足以弥补甲方损失的，由乙方另行承担赔偿责任。</w:t>
      </w:r>
    </w:p>
    <w:p w14:paraId="28228DC8">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八、</w:t>
      </w:r>
      <w:r>
        <w:rPr>
          <w:rFonts w:hint="eastAsia" w:ascii="Calibri" w:hAnsi="Calibri" w:eastAsia="宋体" w:cs="Times New Roman"/>
          <w:b/>
          <w:sz w:val="22"/>
          <w:szCs w:val="24"/>
          <w:lang w:val="en-US" w:eastAsia="zh-Hans" w:bidi="ar-SA"/>
        </w:rPr>
        <w:t>付款方式</w:t>
      </w:r>
    </w:p>
    <w:p w14:paraId="533422A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（一）服务费按</w:t>
      </w:r>
      <w:r>
        <w:rPr>
          <w:rFonts w:hint="eastAsia" w:ascii="Calibri" w:hAnsi="Calibri" w:eastAsia="宋体" w:cs="Times New Roman"/>
          <w:sz w:val="22"/>
          <w:szCs w:val="24"/>
          <w:lang w:val="en-US" w:eastAsia="zh-CN" w:bidi="ar-SA"/>
        </w:rPr>
        <w:t>按季度进行结算</w:t>
      </w:r>
      <w:r>
        <w:rPr>
          <w:rFonts w:hint="eastAsia" w:ascii="Calibri" w:hAnsi="Calibri" w:eastAsia="宋体" w:cs="Times New Roman"/>
          <w:sz w:val="22"/>
          <w:szCs w:val="24"/>
          <w:lang w:val="en-US" w:eastAsia="zh-Hans" w:bidi="ar-SA"/>
        </w:rPr>
        <w:t>。</w:t>
      </w:r>
    </w:p>
    <w:p w14:paraId="0B64AC36">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（二）乙方不得委托第三方开具发票办理结算事宜，否则甲方有权拒付。支付前，乙方应向甲方开具等额有效的增值税发票，并承担由此产生的税费，否则甲方有权拒绝付款，且不承担违约责任。</w:t>
      </w:r>
    </w:p>
    <w:p w14:paraId="302F4AF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（三）甲方以银行转账的方式支付。</w:t>
      </w:r>
    </w:p>
    <w:p w14:paraId="215CAEAB">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（四）如遇不可抗因素，则甲方付款日期顺延。</w:t>
      </w:r>
    </w:p>
    <w:p w14:paraId="7BA59907">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（五）乙方收款银行名称、地址和账号如下：</w:t>
      </w:r>
    </w:p>
    <w:p w14:paraId="1AECA99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户名：</w:t>
      </w:r>
    </w:p>
    <w:p w14:paraId="0433C07C">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开户银行：</w:t>
      </w:r>
    </w:p>
    <w:p w14:paraId="506BFD5C">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账号：</w:t>
      </w:r>
    </w:p>
    <w:p w14:paraId="59E3819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纳税人识别号：</w:t>
      </w:r>
    </w:p>
    <w:p w14:paraId="07F08A61">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联系电话：</w:t>
      </w:r>
    </w:p>
    <w:p w14:paraId="31F96802">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（六）乙方凭以下资料与甲方结算</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每</w:t>
      </w:r>
      <w:r>
        <w:rPr>
          <w:rFonts w:hint="eastAsia" w:ascii="Calibri" w:hAnsi="Calibri" w:eastAsia="宋体" w:cs="Times New Roman"/>
          <w:sz w:val="22"/>
          <w:szCs w:val="24"/>
          <w:lang w:val="en-US" w:eastAsia="zh-CN" w:bidi="ar-SA"/>
        </w:rPr>
        <w:t>季度</w:t>
      </w:r>
      <w:r>
        <w:rPr>
          <w:rFonts w:hint="eastAsia" w:ascii="Calibri" w:hAnsi="Calibri" w:eastAsia="宋体" w:cs="Times New Roman"/>
          <w:sz w:val="22"/>
          <w:szCs w:val="24"/>
          <w:lang w:val="en-US" w:eastAsia="zh-Hans" w:bidi="ar-SA"/>
        </w:rPr>
        <w:t>5日前提交上</w:t>
      </w:r>
      <w:r>
        <w:rPr>
          <w:rFonts w:hint="eastAsia" w:ascii="Calibri" w:hAnsi="Calibri" w:eastAsia="宋体" w:cs="Times New Roman"/>
          <w:sz w:val="22"/>
          <w:szCs w:val="24"/>
          <w:lang w:val="en-US" w:eastAsia="zh-CN" w:bidi="ar-SA"/>
        </w:rPr>
        <w:t>季度</w:t>
      </w:r>
      <w:r>
        <w:rPr>
          <w:rFonts w:hint="eastAsia" w:ascii="Calibri" w:hAnsi="Calibri" w:eastAsia="宋体" w:cs="Times New Roman"/>
          <w:sz w:val="22"/>
          <w:szCs w:val="24"/>
          <w:lang w:val="en-US" w:eastAsia="zh-Hans" w:bidi="ar-SA"/>
        </w:rPr>
        <w:t>的</w:t>
      </w:r>
      <w:r>
        <w:rPr>
          <w:rFonts w:hint="eastAsia" w:ascii="Calibri" w:hAnsi="Calibri" w:eastAsia="宋体" w:cs="Times New Roman"/>
          <w:sz w:val="22"/>
          <w:szCs w:val="24"/>
          <w:lang w:val="en-US" w:eastAsia="zh-CN" w:bidi="ar-SA"/>
        </w:rPr>
        <w:t>结算资料）</w:t>
      </w:r>
      <w:r>
        <w:rPr>
          <w:rFonts w:hint="eastAsia" w:ascii="Calibri" w:hAnsi="Calibri" w:eastAsia="宋体" w:cs="Times New Roman"/>
          <w:sz w:val="22"/>
          <w:szCs w:val="24"/>
          <w:lang w:val="en-US" w:eastAsia="zh-Hans" w:bidi="ar-SA"/>
        </w:rPr>
        <w:t>：</w:t>
      </w:r>
    </w:p>
    <w:p w14:paraId="4817D41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1</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采购合同；</w:t>
      </w:r>
    </w:p>
    <w:p w14:paraId="5531500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2</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甲方签字确认的《宣传物料制作季度服务质量考核评分表》；</w:t>
      </w:r>
    </w:p>
    <w:p w14:paraId="07953069">
      <w:pPr>
        <w:ind w:firstLine="480"/>
        <w:jc w:val="both"/>
        <w:rPr>
          <w:rFonts w:hint="default"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Hans" w:bidi="ar-SA"/>
        </w:rPr>
        <w:t>3</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经甲方核对确认无误</w:t>
      </w:r>
      <w:r>
        <w:rPr>
          <w:rFonts w:hint="eastAsia" w:ascii="Calibri" w:hAnsi="Calibri" w:eastAsia="宋体" w:cs="Times New Roman"/>
          <w:sz w:val="22"/>
          <w:szCs w:val="24"/>
          <w:lang w:val="en-US" w:eastAsia="zh-CN" w:bidi="ar-SA"/>
        </w:rPr>
        <w:t>的宣传物料制作季度报表；</w:t>
      </w:r>
    </w:p>
    <w:p w14:paraId="5FD6E651">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4</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乙方开具的正式税务发票原件；</w:t>
      </w:r>
    </w:p>
    <w:p w14:paraId="524E94DB">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5.</w:t>
      </w:r>
      <w:r>
        <w:rPr>
          <w:rFonts w:hint="eastAsia" w:ascii="Calibri" w:hAnsi="Calibri" w:eastAsia="宋体" w:cs="Times New Roman"/>
          <w:sz w:val="22"/>
          <w:szCs w:val="24"/>
          <w:lang w:val="en-US" w:eastAsia="zh-Hans" w:bidi="ar-SA"/>
        </w:rPr>
        <w:t>甲方财务部门要求的其他资料。</w:t>
      </w:r>
    </w:p>
    <w:p w14:paraId="12687EBC">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甲方在收到上述资料后</w:t>
      </w:r>
      <w:r>
        <w:rPr>
          <w:rFonts w:hint="eastAsia" w:ascii="Calibri" w:hAnsi="Calibri" w:eastAsia="宋体" w:cs="Times New Roman"/>
          <w:sz w:val="22"/>
          <w:szCs w:val="24"/>
          <w:lang w:val="en-US" w:eastAsia="zh-CN" w:bidi="ar-SA"/>
        </w:rPr>
        <w:t>30</w:t>
      </w:r>
      <w:r>
        <w:rPr>
          <w:rFonts w:hint="eastAsia" w:ascii="Calibri" w:hAnsi="Calibri" w:eastAsia="宋体" w:cs="Times New Roman"/>
          <w:sz w:val="22"/>
          <w:szCs w:val="24"/>
          <w:lang w:val="en-US" w:eastAsia="zh-Hans" w:bidi="ar-SA"/>
        </w:rPr>
        <w:t>个工作日内</w:t>
      </w:r>
      <w:r>
        <w:rPr>
          <w:rFonts w:hint="eastAsia" w:ascii="Calibri" w:hAnsi="Calibri" w:eastAsia="宋体" w:cs="Times New Roman"/>
          <w:sz w:val="22"/>
          <w:szCs w:val="24"/>
          <w:lang w:val="en-US" w:eastAsia="zh-CN" w:bidi="ar-SA"/>
        </w:rPr>
        <w:t>开始</w:t>
      </w:r>
      <w:r>
        <w:rPr>
          <w:rFonts w:hint="eastAsia" w:ascii="Calibri" w:hAnsi="Calibri" w:eastAsia="宋体" w:cs="Times New Roman"/>
          <w:sz w:val="22"/>
          <w:szCs w:val="24"/>
          <w:lang w:val="en-US" w:eastAsia="zh-Hans" w:bidi="ar-SA"/>
        </w:rPr>
        <w:t>办理付款手续。</w:t>
      </w:r>
    </w:p>
    <w:p w14:paraId="2BB170D3">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九</w:t>
      </w:r>
      <w:r>
        <w:rPr>
          <w:rFonts w:hint="eastAsia" w:ascii="Calibri" w:hAnsi="Calibri" w:eastAsia="宋体" w:cs="Times New Roman"/>
          <w:b/>
          <w:sz w:val="22"/>
          <w:szCs w:val="24"/>
          <w:lang w:val="en-US" w:eastAsia="zh-Hans" w:bidi="ar-SA"/>
        </w:rPr>
        <w:t>、解除合同与赔偿损失</w:t>
      </w:r>
    </w:p>
    <w:p w14:paraId="325ECA4E">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一）若乙方在履行合同期间违约（未按要求准时交货，或中途退出，或无故拖延工期，或产品制作质量不达标，或产品偷工减料，未按照要求的材质和参数进行制作等），甲方将向乙方发出整改通知。乙方不能限期整改的，每逾期一日，乙方需按当季度合格产品结算总金额的5%的数额支付违约金，甲方有权在每季度结算时进行扣减。</w:t>
      </w:r>
    </w:p>
    <w:p w14:paraId="5DB2470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二）服务期内，乙方拒绝整改或逾期整改达7个工作日或甲方向乙方发出各种整改通知累计达到5份，甲方有权单方面解除合同，造成的损失由乙方全部承担。若因乙方的违约，甲方有权向乙方追索损失，包括但不限于实际损失和甲方为维护合法权益支出的律师费、诉讼费、执行费、保全费等全部费用。</w:t>
      </w:r>
    </w:p>
    <w:p w14:paraId="1B5CD588">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（三）</w:t>
      </w:r>
      <w:r>
        <w:rPr>
          <w:rFonts w:hint="eastAsia" w:ascii="Calibri" w:hAnsi="Calibri" w:eastAsia="宋体" w:cs="Times New Roman"/>
          <w:sz w:val="22"/>
          <w:szCs w:val="24"/>
          <w:lang w:val="en-US" w:eastAsia="zh-Hans" w:bidi="ar-SA"/>
        </w:rPr>
        <w:t>其他违约责任按合同相应条款约定及《中华人民共和国民法典》的规定处理。</w:t>
      </w:r>
    </w:p>
    <w:p w14:paraId="53787608">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十</w:t>
      </w:r>
      <w:r>
        <w:rPr>
          <w:rFonts w:hint="eastAsia" w:ascii="Calibri" w:hAnsi="Calibri" w:eastAsia="宋体" w:cs="Times New Roman"/>
          <w:b/>
          <w:sz w:val="22"/>
          <w:szCs w:val="24"/>
          <w:lang w:val="en-US" w:eastAsia="zh-Hans" w:bidi="ar-SA"/>
        </w:rPr>
        <w:t>、不可抗力</w:t>
      </w:r>
    </w:p>
    <w:p w14:paraId="4F54F084">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kern w:val="2"/>
          <w:sz w:val="22"/>
          <w:szCs w:val="24"/>
          <w:lang w:val="en-US" w:eastAsia="zh-CN" w:bidi="ar-SA"/>
        </w:rPr>
        <w:t>（一）</w:t>
      </w:r>
      <w:r>
        <w:rPr>
          <w:rFonts w:hint="eastAsia" w:ascii="Calibri" w:hAnsi="Calibri" w:eastAsia="宋体" w:cs="Times New Roman"/>
          <w:sz w:val="22"/>
          <w:szCs w:val="24"/>
          <w:lang w:val="en-US" w:eastAsia="zh-Hans" w:bidi="ar-SA"/>
        </w:rPr>
        <w:t>由于不可预见、不可避免、不可克服等不可抗力的原因，一方不能履行合同义务的，应当在不可抗力发生之日起3天内以书面形式通知对方，证明不可抗力事件的存在。</w:t>
      </w:r>
    </w:p>
    <w:p w14:paraId="089BC91B">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szCs w:val="24"/>
          <w:lang w:val="en-US" w:eastAsia="zh-Hans" w:bidi="ar-SA"/>
        </w:rPr>
        <w:t>不可抗力事件发生后，甲方和乙方应当积极寻求以合理的方式履行本合同。如不可抗力无法消除，致使合同目的无法实现的，双方均有权解除合同，且均不互相索赔。</w:t>
      </w:r>
    </w:p>
    <w:p w14:paraId="5B7EB96B">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（三）</w:t>
      </w:r>
      <w:r>
        <w:rPr>
          <w:rFonts w:hint="eastAsia" w:ascii="Calibri" w:hAnsi="Calibri" w:eastAsia="宋体" w:cs="Times New Roman"/>
          <w:sz w:val="22"/>
          <w:szCs w:val="24"/>
          <w:lang w:val="en-US" w:eastAsia="zh-Hans" w:bidi="ar-SA"/>
        </w:rPr>
        <w:t>由于法律法规或监管政策变化而导致本合同与法律法规或监管政策相抵触时，双方根据法律法规及监管政策以书面方式协商变更本协议，协商不成或者法律法规或监管政策变化致使合同目的无法实现的，双方均有权解除合同，且均不互相索赔。</w:t>
      </w:r>
    </w:p>
    <w:p w14:paraId="279C28F2">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CN" w:bidi="ar-SA"/>
        </w:rPr>
        <w:t>十一</w:t>
      </w:r>
      <w:r>
        <w:rPr>
          <w:rFonts w:hint="eastAsia" w:ascii="Calibri" w:hAnsi="Calibri" w:eastAsia="宋体" w:cs="Times New Roman"/>
          <w:b/>
          <w:sz w:val="22"/>
          <w:szCs w:val="24"/>
          <w:lang w:val="en-US" w:eastAsia="zh-Hans" w:bidi="ar-SA"/>
        </w:rPr>
        <w:t>、服务费的扣罚</w:t>
      </w:r>
    </w:p>
    <w:p w14:paraId="7662B80A">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（一）每季度服务费支付前，进行考核评分，考核总分为100分，总分为《宣传物料制作季度服务质量考核评分表》（详见附件1），不同分值与费用支付如下：</w:t>
      </w:r>
    </w:p>
    <w:p w14:paraId="12C39DFE">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1.当评分在90-100分为合格，当季服务费按100%支付；</w:t>
      </w:r>
    </w:p>
    <w:p w14:paraId="23FC811C">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2.当评分在80-89分为不合格，当季服务费按90%支付；</w:t>
      </w:r>
    </w:p>
    <w:p w14:paraId="5FAF8376">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3.当评分在＜79分为不合格，当季服务费按85%支付；</w:t>
      </w:r>
    </w:p>
    <w:p w14:paraId="26072DF5">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4.合同执行期间累计达三次或连续两次不合格，甲方有权单方终止合同并将本项目另行发包，相关费用及损失由乙方承担。如终止合同，乙方必须在收到终止合同通知书之日起一个月内无条件退场并配合做好交接工作。</w:t>
      </w:r>
    </w:p>
    <w:p w14:paraId="7EF1AB9F">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szCs w:val="24"/>
          <w:lang w:val="en-US" w:eastAsia="zh-Hans" w:bidi="ar-SA"/>
        </w:rPr>
        <w:t>上述服务费扣罚涉及的投诉类型、过错大小、事故性质、有效性的确定由甲、乙双方另行协商予以明确，个别投诉事项可以具体个案具体明确，有分歧异议的，以甲方的意见为准。</w:t>
      </w:r>
    </w:p>
    <w:p w14:paraId="1851F0CB">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十</w:t>
      </w:r>
      <w:r>
        <w:rPr>
          <w:rFonts w:hint="eastAsia" w:ascii="Calibri" w:hAnsi="Calibri" w:eastAsia="宋体" w:cs="Times New Roman"/>
          <w:b/>
          <w:sz w:val="22"/>
          <w:szCs w:val="24"/>
          <w:lang w:val="en-US" w:eastAsia="zh-CN" w:bidi="ar-SA"/>
        </w:rPr>
        <w:t>二</w:t>
      </w:r>
      <w:r>
        <w:rPr>
          <w:rFonts w:hint="eastAsia" w:ascii="Calibri" w:hAnsi="Calibri" w:eastAsia="宋体" w:cs="Times New Roman"/>
          <w:b/>
          <w:sz w:val="22"/>
          <w:szCs w:val="24"/>
          <w:lang w:val="en-US" w:eastAsia="zh-Hans" w:bidi="ar-SA"/>
        </w:rPr>
        <w:t>、争议及解决办法</w:t>
      </w:r>
    </w:p>
    <w:p w14:paraId="1A8F634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kern w:val="2"/>
          <w:sz w:val="22"/>
          <w:szCs w:val="24"/>
          <w:lang w:val="en-US" w:eastAsia="zh-CN" w:bidi="ar-SA"/>
        </w:rPr>
        <w:t>（一）</w:t>
      </w:r>
      <w:r>
        <w:rPr>
          <w:rFonts w:hint="eastAsia" w:ascii="Calibri" w:hAnsi="Calibri" w:eastAsia="宋体" w:cs="Times New Roman"/>
          <w:sz w:val="22"/>
          <w:szCs w:val="24"/>
          <w:lang w:val="en-US" w:eastAsia="zh-Hans" w:bidi="ar-SA"/>
        </w:rPr>
        <w:t>本合同发生争议，由双方协商，协商或调解不成时按以下第</w:t>
      </w:r>
      <w:r>
        <w:rPr>
          <w:rFonts w:hint="eastAsia" w:ascii="Calibri" w:hAnsi="Calibri" w:eastAsia="宋体" w:cs="Times New Roman"/>
          <w:sz w:val="22"/>
          <w:szCs w:val="24"/>
          <w:u w:val="single"/>
          <w:lang w:val="en-US" w:eastAsia="zh-Hans" w:bidi="ar-SA"/>
        </w:rPr>
        <w:t xml:space="preserve">  2  </w:t>
      </w:r>
      <w:r>
        <w:rPr>
          <w:rFonts w:hint="eastAsia" w:ascii="Calibri" w:hAnsi="Calibri" w:eastAsia="宋体" w:cs="Times New Roman"/>
          <w:sz w:val="22"/>
          <w:szCs w:val="24"/>
          <w:lang w:val="en-US" w:eastAsia="zh-Hans" w:bidi="ar-SA"/>
        </w:rPr>
        <w:t>种方式解决：</w:t>
      </w:r>
    </w:p>
    <w:p w14:paraId="09E16CB9">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中国广州仲裁委员会仲裁；</w:t>
      </w:r>
    </w:p>
    <w:p w14:paraId="2814B054">
      <w:pPr>
        <w:ind w:firstLine="480"/>
        <w:jc w:val="both"/>
        <w:rPr>
          <w:rFonts w:hint="eastAsia" w:ascii="Calibri" w:hAnsi="Calibri" w:eastAsia="宋体" w:cs="Times New Roman"/>
          <w:szCs w:val="24"/>
          <w:lang w:val="en-US" w:eastAsia="zh-CN"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向甲方所在地人民法院提起诉讼</w:t>
      </w:r>
      <w:r>
        <w:rPr>
          <w:rFonts w:hint="eastAsia" w:ascii="Calibri" w:hAnsi="Calibri" w:eastAsia="宋体" w:cs="Times New Roman"/>
          <w:sz w:val="22"/>
          <w:szCs w:val="24"/>
          <w:lang w:val="en-US" w:eastAsia="zh-CN" w:bidi="ar-SA"/>
        </w:rPr>
        <w:t>；</w:t>
      </w:r>
    </w:p>
    <w:p w14:paraId="3CBD460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3.</w:t>
      </w:r>
      <w:r>
        <w:rPr>
          <w:rFonts w:hint="eastAsia" w:ascii="Calibri" w:hAnsi="Calibri" w:eastAsia="宋体" w:cs="Times New Roman"/>
          <w:sz w:val="22"/>
          <w:szCs w:val="24"/>
          <w:lang w:val="en-US" w:eastAsia="zh-Hans" w:bidi="ar-SA"/>
        </w:rPr>
        <w:t>下列文件被认为是组成本合同的一部分，并互为补充和解释，如各部分文件内容存在不一致的，其效力和解释按下列排列次序，排列在</w:t>
      </w:r>
      <w:bookmarkStart w:id="0" w:name="_GoBack"/>
      <w:bookmarkEnd w:id="0"/>
      <w:r>
        <w:rPr>
          <w:rFonts w:hint="eastAsia" w:ascii="Calibri" w:hAnsi="Calibri" w:eastAsia="宋体" w:cs="Times New Roman"/>
          <w:sz w:val="22"/>
          <w:szCs w:val="24"/>
          <w:lang w:val="en-US" w:eastAsia="zh-Hans" w:bidi="ar-SA"/>
        </w:rPr>
        <w:t>先者优先适用：</w:t>
      </w:r>
    </w:p>
    <w:p w14:paraId="44356220">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（1）合同实施后的补充协议、纪要、备忘录；</w:t>
      </w:r>
    </w:p>
    <w:p w14:paraId="4F0233B3">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（2）本合同；</w:t>
      </w:r>
    </w:p>
    <w:p w14:paraId="22863E35">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（3）中标通知书；</w:t>
      </w:r>
    </w:p>
    <w:p w14:paraId="00154118">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（4）</w:t>
      </w:r>
      <w:r>
        <w:rPr>
          <w:rFonts w:hint="eastAsia" w:ascii="Calibri" w:hAnsi="Calibri" w:eastAsia="宋体" w:cs="Times New Roman"/>
          <w:sz w:val="22"/>
          <w:szCs w:val="24"/>
          <w:lang w:val="en-US" w:eastAsia="zh-CN" w:bidi="ar-SA"/>
        </w:rPr>
        <w:t>采购</w:t>
      </w:r>
      <w:r>
        <w:rPr>
          <w:rFonts w:hint="eastAsia" w:ascii="Calibri" w:hAnsi="Calibri" w:eastAsia="宋体" w:cs="Times New Roman"/>
          <w:sz w:val="22"/>
          <w:szCs w:val="24"/>
          <w:lang w:val="en-US" w:eastAsia="zh-Hans" w:bidi="ar-SA"/>
        </w:rPr>
        <w:t>文件及其澄清、补充文件；</w:t>
      </w:r>
    </w:p>
    <w:p w14:paraId="4A6EEAEB">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w:t>
      </w:r>
      <w:r>
        <w:rPr>
          <w:rFonts w:hint="eastAsia" w:ascii="Calibri" w:hAnsi="Calibri" w:eastAsia="宋体" w:cs="Times New Roman"/>
          <w:sz w:val="22"/>
          <w:szCs w:val="24"/>
          <w:lang w:val="en-US" w:eastAsia="zh-CN" w:bidi="ar-SA"/>
        </w:rPr>
        <w:t>5</w:t>
      </w:r>
      <w:r>
        <w:rPr>
          <w:rFonts w:hint="eastAsia" w:ascii="Calibri" w:hAnsi="Calibri" w:eastAsia="宋体" w:cs="Times New Roman"/>
          <w:sz w:val="22"/>
          <w:szCs w:val="24"/>
          <w:lang w:val="en-US" w:eastAsia="zh-Hans" w:bidi="ar-SA"/>
        </w:rPr>
        <w:t>）本合同附件；</w:t>
      </w:r>
    </w:p>
    <w:p w14:paraId="1C3711DE">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w:t>
      </w:r>
      <w:r>
        <w:rPr>
          <w:rFonts w:hint="eastAsia" w:ascii="Calibri" w:hAnsi="Calibri" w:eastAsia="宋体" w:cs="Times New Roman"/>
          <w:sz w:val="22"/>
          <w:szCs w:val="24"/>
          <w:lang w:val="en-US" w:eastAsia="zh-CN" w:bidi="ar-SA"/>
        </w:rPr>
        <w:t>6</w:t>
      </w:r>
      <w:r>
        <w:rPr>
          <w:rFonts w:hint="eastAsia" w:ascii="Calibri" w:hAnsi="Calibri" w:eastAsia="宋体" w:cs="Times New Roman"/>
          <w:sz w:val="22"/>
          <w:szCs w:val="24"/>
          <w:lang w:val="en-US" w:eastAsia="zh-Hans" w:bidi="ar-SA"/>
        </w:rPr>
        <w:t>）标准、规范和其他有关技术文件；</w:t>
      </w:r>
    </w:p>
    <w:p w14:paraId="07B52042">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当合同文件出现含糊不清或不相一致，按以上排序仍不能解决的，在不影响项目合同履行进度的情况下，双方可协商解决。</w:t>
      </w:r>
    </w:p>
    <w:p w14:paraId="4AA336B4">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十</w:t>
      </w:r>
      <w:r>
        <w:rPr>
          <w:rFonts w:hint="eastAsia" w:ascii="Calibri" w:hAnsi="Calibri" w:eastAsia="宋体" w:cs="Times New Roman"/>
          <w:b/>
          <w:sz w:val="22"/>
          <w:szCs w:val="24"/>
          <w:lang w:val="en-US" w:eastAsia="zh-CN" w:bidi="ar-SA"/>
        </w:rPr>
        <w:t>三</w:t>
      </w:r>
      <w:r>
        <w:rPr>
          <w:rFonts w:hint="eastAsia" w:ascii="Calibri" w:hAnsi="Calibri" w:eastAsia="宋体" w:cs="Times New Roman"/>
          <w:b/>
          <w:sz w:val="22"/>
          <w:szCs w:val="24"/>
          <w:lang w:val="en-US" w:eastAsia="zh-Hans" w:bidi="ar-SA"/>
        </w:rPr>
        <w:t>、检查与审计</w:t>
      </w:r>
    </w:p>
    <w:p w14:paraId="7276701A">
      <w:pPr>
        <w:ind w:firstLine="48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为配合监督管理部门的检查及评估合规风险的需要，甲方有权对乙方与本协议项下有关的经营情况进行调查或审计，乙方应当积极予以配合。</w:t>
      </w:r>
    </w:p>
    <w:p w14:paraId="44B7980C">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十</w:t>
      </w:r>
      <w:r>
        <w:rPr>
          <w:rFonts w:hint="eastAsia" w:ascii="Calibri" w:hAnsi="Calibri" w:eastAsia="宋体" w:cs="Times New Roman"/>
          <w:b/>
          <w:sz w:val="22"/>
          <w:szCs w:val="24"/>
          <w:lang w:val="en-US" w:eastAsia="zh-CN" w:bidi="ar-SA"/>
        </w:rPr>
        <w:t>四</w:t>
      </w:r>
      <w:r>
        <w:rPr>
          <w:rFonts w:hint="eastAsia" w:ascii="Calibri" w:hAnsi="Calibri" w:eastAsia="宋体" w:cs="Times New Roman"/>
          <w:b/>
          <w:sz w:val="22"/>
          <w:szCs w:val="24"/>
          <w:lang w:val="en-US" w:eastAsia="zh-Hans" w:bidi="ar-SA"/>
        </w:rPr>
        <w:t>、其他</w:t>
      </w:r>
    </w:p>
    <w:p w14:paraId="5250CEEA">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（一）</w:t>
      </w:r>
      <w:r>
        <w:rPr>
          <w:rFonts w:hint="eastAsia" w:ascii="Calibri" w:hAnsi="Calibri" w:eastAsia="宋体" w:cs="Times New Roman"/>
          <w:sz w:val="22"/>
          <w:szCs w:val="24"/>
          <w:lang w:val="en-US" w:eastAsia="zh-Hans" w:bidi="ar-SA"/>
        </w:rPr>
        <w:t>如一方地址、电话、传真号码有变更，应在变更三日内书面通知对方，否则，应承担相应责任。</w:t>
      </w:r>
    </w:p>
    <w:p w14:paraId="011EB696">
      <w:pPr>
        <w:ind w:firstLine="480"/>
        <w:jc w:val="both"/>
        <w:rPr>
          <w:rFonts w:hint="default" w:ascii="Calibri" w:hAnsi="Calibri" w:eastAsia="宋体" w:cs="Times New Roman"/>
          <w:szCs w:val="24"/>
          <w:lang w:val="en-US" w:eastAsia="zh-CN" w:bidi="ar-SA"/>
        </w:rPr>
      </w:pPr>
      <w:r>
        <w:rPr>
          <w:rFonts w:hint="eastAsia" w:ascii="Calibri" w:hAnsi="Calibri" w:eastAsia="宋体" w:cs="Times New Roman"/>
          <w:sz w:val="22"/>
          <w:szCs w:val="24"/>
          <w:lang w:val="en-US" w:eastAsia="zh-CN" w:bidi="ar-SA"/>
        </w:rPr>
        <w:t>（二）乙方确保对甲方所有宣传物料制作信息严格保密，否则，由此产生的一切后果及责任均由乙方承担。</w:t>
      </w:r>
    </w:p>
    <w:p w14:paraId="124F483A">
      <w:pPr>
        <w:ind w:firstLine="480"/>
        <w:jc w:val="center"/>
        <w:rPr>
          <w:rFonts w:hint="default" w:ascii="Calibri" w:hAnsi="Calibri" w:eastAsia="宋体" w:cs="Times New Roman"/>
          <w:szCs w:val="24"/>
          <w:lang w:val="en-US" w:eastAsia="zh-Hans" w:bidi="ar-SA"/>
        </w:rPr>
      </w:pPr>
      <w:r>
        <w:rPr>
          <w:rFonts w:hint="eastAsia" w:ascii="Calibri" w:hAnsi="Calibri" w:eastAsia="宋体" w:cs="Times New Roman"/>
          <w:b/>
          <w:sz w:val="22"/>
          <w:szCs w:val="24"/>
          <w:lang w:val="en-US" w:eastAsia="zh-Hans" w:bidi="ar-SA"/>
        </w:rPr>
        <w:t>十</w:t>
      </w:r>
      <w:r>
        <w:rPr>
          <w:rFonts w:hint="eastAsia" w:ascii="Calibri" w:hAnsi="Calibri" w:eastAsia="宋体" w:cs="Times New Roman"/>
          <w:b/>
          <w:sz w:val="22"/>
          <w:szCs w:val="24"/>
          <w:lang w:val="en-US" w:eastAsia="zh-CN" w:bidi="ar-SA"/>
        </w:rPr>
        <w:t>五</w:t>
      </w:r>
      <w:r>
        <w:rPr>
          <w:rFonts w:hint="eastAsia" w:ascii="Calibri" w:hAnsi="Calibri" w:eastAsia="宋体" w:cs="Times New Roman"/>
          <w:b/>
          <w:sz w:val="22"/>
          <w:szCs w:val="24"/>
          <w:lang w:val="en-US" w:eastAsia="zh-Hans" w:bidi="ar-SA"/>
        </w:rPr>
        <w:t>、合同生效</w:t>
      </w:r>
    </w:p>
    <w:p w14:paraId="0692813D">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（一）</w:t>
      </w:r>
      <w:r>
        <w:rPr>
          <w:rFonts w:hint="eastAsia" w:ascii="Calibri" w:hAnsi="Calibri" w:eastAsia="宋体" w:cs="Times New Roman"/>
          <w:sz w:val="22"/>
          <w:szCs w:val="24"/>
          <w:lang w:val="en-US" w:eastAsia="zh-Hans" w:bidi="ar-SA"/>
        </w:rPr>
        <w:t>本合同自甲乙双方法人代表或其授权代表签字及单位盖章之日起生效。</w:t>
      </w:r>
    </w:p>
    <w:p w14:paraId="3D74A790">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（二）</w:t>
      </w:r>
      <w:r>
        <w:rPr>
          <w:rFonts w:hint="eastAsia" w:ascii="Calibri" w:hAnsi="Calibri" w:eastAsia="宋体" w:cs="Times New Roman"/>
          <w:sz w:val="22"/>
          <w:szCs w:val="24"/>
          <w:lang w:val="en-US" w:eastAsia="zh-Hans" w:bidi="ar-SA"/>
        </w:rPr>
        <w:t>本合同壹式陆份，其中甲方执肆份，乙方执贰份，均具有同等的法律效力。合同自</w:t>
      </w:r>
      <w:r>
        <w:rPr>
          <w:rFonts w:hint="eastAsia" w:ascii="Calibri" w:hAnsi="Calibri" w:eastAsia="宋体" w:cs="Times New Roman"/>
          <w:sz w:val="22"/>
          <w:szCs w:val="24"/>
          <w:lang w:val="en-US" w:eastAsia="zh-CN" w:bidi="ar-SA"/>
        </w:rPr>
        <w:t>双</w:t>
      </w:r>
      <w:r>
        <w:rPr>
          <w:rFonts w:hint="eastAsia" w:ascii="Calibri" w:hAnsi="Calibri" w:eastAsia="宋体" w:cs="Times New Roman"/>
          <w:sz w:val="22"/>
          <w:szCs w:val="24"/>
          <w:lang w:val="en-US" w:eastAsia="zh-Hans" w:bidi="ar-SA"/>
        </w:rPr>
        <w:t>方签字盖章之日起即时生效。</w:t>
      </w:r>
    </w:p>
    <w:p w14:paraId="5E05E63E">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（三）</w:t>
      </w:r>
      <w:r>
        <w:rPr>
          <w:rFonts w:hint="eastAsia" w:ascii="Calibri" w:hAnsi="Calibri" w:eastAsia="宋体" w:cs="Times New Roman"/>
          <w:sz w:val="22"/>
          <w:szCs w:val="24"/>
          <w:lang w:val="en-US" w:eastAsia="zh-Hans" w:bidi="ar-SA"/>
        </w:rPr>
        <w:t>本合同未尽事宜，由双方协商处理，协商一致后签订补充协议，补充协议与本合同具有同等的法律效力。</w:t>
      </w:r>
    </w:p>
    <w:p w14:paraId="7E472839">
      <w:pPr>
        <w:ind w:firstLine="480"/>
        <w:jc w:val="both"/>
        <w:rPr>
          <w:rFonts w:hint="eastAsia" w:ascii="Calibri" w:hAnsi="Calibri" w:eastAsia="宋体" w:cs="Times New Roman"/>
          <w:sz w:val="22"/>
          <w:szCs w:val="24"/>
          <w:lang w:val="en-US" w:eastAsia="zh-Hans" w:bidi="ar-SA"/>
        </w:rPr>
      </w:pPr>
    </w:p>
    <w:p w14:paraId="73BDE1C1">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附件1：宣传物料制作季度服务质量考核评分表</w:t>
      </w:r>
    </w:p>
    <w:p w14:paraId="5759773B">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附件2：宣传物料制作年度服务质量考核评分表</w:t>
      </w:r>
    </w:p>
    <w:p w14:paraId="5E5004F3">
      <w:pPr>
        <w:ind w:firstLine="480"/>
        <w:jc w:val="both"/>
        <w:rPr>
          <w:rFonts w:hint="default" w:ascii="Calibri" w:hAnsi="Calibri" w:eastAsia="宋体" w:cs="Times New Roman"/>
          <w:sz w:val="22"/>
          <w:szCs w:val="24"/>
          <w:lang w:val="en-US" w:eastAsia="zh-CN" w:bidi="ar-SA"/>
        </w:rPr>
      </w:pPr>
      <w:r>
        <w:rPr>
          <w:rFonts w:hint="default" w:ascii="Calibri" w:hAnsi="Calibri" w:eastAsia="宋体" w:cs="Times New Roman"/>
          <w:sz w:val="22"/>
          <w:szCs w:val="24"/>
          <w:lang w:val="en-US" w:eastAsia="zh-CN" w:bidi="ar-SA"/>
        </w:rPr>
        <w:t>附件3：保密协议</w:t>
      </w:r>
    </w:p>
    <w:p w14:paraId="26FCDAEA">
      <w:pPr>
        <w:ind w:firstLine="480"/>
        <w:jc w:val="both"/>
        <w:rPr>
          <w:rFonts w:hint="eastAsia" w:ascii="Calibri" w:hAnsi="Calibri" w:eastAsia="宋体" w:cs="Times New Roman"/>
          <w:sz w:val="22"/>
          <w:szCs w:val="24"/>
          <w:lang w:val="en-US" w:eastAsia="zh-Hans" w:bidi="ar-SA"/>
        </w:rPr>
      </w:pPr>
    </w:p>
    <w:p w14:paraId="10AA7A5E">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（以下无正文）</w:t>
      </w:r>
    </w:p>
    <w:p w14:paraId="0F2BCCDB">
      <w:pPr>
        <w:jc w:val="both"/>
        <w:rPr>
          <w:rFonts w:hint="eastAsia" w:ascii="Calibri" w:hAnsi="Calibri" w:eastAsia="宋体" w:cs="Times New Roman"/>
          <w:sz w:val="22"/>
          <w:szCs w:val="24"/>
          <w:lang w:val="en-US" w:eastAsia="zh-Hans" w:bidi="ar-SA"/>
        </w:rPr>
      </w:pPr>
    </w:p>
    <w:p w14:paraId="0A9E4E4A">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甲方：广东省工人医院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乙方：</w:t>
      </w:r>
    </w:p>
    <w:p w14:paraId="7617C8FB">
      <w:pPr>
        <w:jc w:val="both"/>
        <w:rPr>
          <w:rFonts w:hint="eastAsia" w:ascii="Calibri" w:hAnsi="Calibri" w:eastAsia="宋体" w:cs="Times New Roman"/>
          <w:sz w:val="22"/>
          <w:szCs w:val="24"/>
          <w:lang w:val="en-US" w:eastAsia="zh-Hans" w:bidi="ar-SA"/>
        </w:rPr>
      </w:pPr>
    </w:p>
    <w:p w14:paraId="53608FF6">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法定代表人：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法定代表人：</w:t>
      </w:r>
    </w:p>
    <w:p w14:paraId="39C7E2B6">
      <w:pPr>
        <w:jc w:val="both"/>
        <w:rPr>
          <w:rFonts w:hint="eastAsia" w:ascii="Calibri" w:hAnsi="Calibri" w:eastAsia="宋体" w:cs="Times New Roman"/>
          <w:sz w:val="22"/>
          <w:szCs w:val="24"/>
          <w:lang w:val="en-US" w:eastAsia="zh-Hans" w:bidi="ar-SA"/>
        </w:rPr>
      </w:pPr>
    </w:p>
    <w:p w14:paraId="561B2855">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地址：广州市黄埔区长洲街长江路320号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地址：</w:t>
      </w:r>
    </w:p>
    <w:p w14:paraId="1F12205B">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电话：82556778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电话：</w:t>
      </w:r>
    </w:p>
    <w:p w14:paraId="57E2DB9F">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传真</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 xml:space="preserve">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传真：</w:t>
      </w:r>
    </w:p>
    <w:p w14:paraId="08F011A8">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签约日期：     年     月     日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签约日期：       年     月    日</w:t>
      </w:r>
    </w:p>
    <w:p w14:paraId="15901B9E">
      <w:pPr>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 xml:space="preserve">开户行：工行广州黄埔军校路支行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开户行：</w:t>
      </w:r>
    </w:p>
    <w:p w14:paraId="20247883">
      <w:pPr>
        <w:jc w:val="both"/>
        <w:rPr>
          <w:rFonts w:hint="eastAsia" w:ascii="Calibri" w:hAnsi="Calibri" w:eastAsia="宋体" w:cs="Times New Roman"/>
          <w:sz w:val="24"/>
          <w:szCs w:val="24"/>
          <w:lang w:val="en-US" w:eastAsia="zh-Hans" w:bidi="ar-SA"/>
        </w:rPr>
      </w:pPr>
      <w:r>
        <w:rPr>
          <w:rFonts w:hint="eastAsia" w:ascii="Calibri" w:hAnsi="Calibri" w:eastAsia="宋体" w:cs="Times New Roman"/>
          <w:sz w:val="22"/>
          <w:szCs w:val="24"/>
          <w:lang w:val="en-US" w:eastAsia="zh-Hans" w:bidi="ar-SA"/>
        </w:rPr>
        <w:t xml:space="preserve">账号：3602004709000120050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账号：</w:t>
      </w:r>
    </w:p>
    <w:p w14:paraId="65D03BA5">
      <w:pPr>
        <w:wordWrap w:val="0"/>
        <w:ind w:left="2125"/>
        <w:jc w:val="both"/>
        <w:rPr>
          <w:rFonts w:hint="default" w:ascii="Times New Roman" w:hAnsi="Times New Roman" w:eastAsia="宋体" w:cs="Times New Roman"/>
          <w:sz w:val="21"/>
          <w:szCs w:val="21"/>
          <w:lang w:val="en-US" w:eastAsia="zh-CN" w:bidi="ar-SA"/>
        </w:rPr>
      </w:pPr>
    </w:p>
    <w:p w14:paraId="5E1080B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br w:type="page"/>
      </w:r>
    </w:p>
    <w:p w14:paraId="08F1A067">
      <w:pPr>
        <w:widowControl w:val="0"/>
        <w:spacing w:line="360" w:lineRule="exact"/>
        <w:ind w:left="2891" w:hanging="3373" w:hangingChars="1200"/>
        <w:jc w:val="both"/>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附件1：</w:t>
      </w:r>
    </w:p>
    <w:p w14:paraId="3FB0A0EE">
      <w:pPr>
        <w:widowControl w:val="0"/>
        <w:spacing w:line="360" w:lineRule="exact"/>
        <w:ind w:left="2891" w:hanging="3373" w:hangingChars="1200"/>
        <w:jc w:val="cente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宣传物料制作季度服务质量考核评分表</w:t>
      </w:r>
    </w:p>
    <w:p w14:paraId="797ABDCB">
      <w:pPr>
        <w:wordWrap w:val="0"/>
        <w:ind w:left="2125"/>
        <w:jc w:val="both"/>
        <w:rPr>
          <w:rFonts w:hint="eastAsia" w:ascii="Times New Roman" w:hAnsi="Times New Roman" w:eastAsia="宋体" w:cs="Times New Roman"/>
          <w:sz w:val="21"/>
          <w:szCs w:val="21"/>
          <w:lang w:val="en-US" w:eastAsia="zh-CN" w:bidi="ar-SA"/>
        </w:rPr>
      </w:pPr>
    </w:p>
    <w:tbl>
      <w:tblPr>
        <w:tblStyle w:val="5"/>
        <w:tblW w:w="499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68"/>
        <w:gridCol w:w="744"/>
        <w:gridCol w:w="1278"/>
        <w:gridCol w:w="1701"/>
        <w:gridCol w:w="1070"/>
        <w:gridCol w:w="1854"/>
        <w:gridCol w:w="860"/>
      </w:tblGrid>
      <w:tr w14:paraId="19CA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623" w:type="pct"/>
            <w:vAlign w:val="center"/>
          </w:tcPr>
          <w:p w14:paraId="4C5DECCD">
            <w:pPr>
              <w:kinsoku w:val="0"/>
              <w:autoSpaceDE w:val="0"/>
              <w:autoSpaceDN w:val="0"/>
              <w:adjustRightInd w:val="0"/>
              <w:snapToGrid w:val="0"/>
              <w:spacing w:before="68" w:line="278" w:lineRule="auto"/>
              <w:ind w:right="169"/>
              <w:jc w:val="center"/>
              <w:textAlignment w:val="baseline"/>
              <w:rPr>
                <w:rFonts w:ascii="等线" w:hAnsi="等线" w:eastAsia="等线" w:cs="Times New Roman"/>
                <w:spacing w:val="7"/>
                <w:sz w:val="20"/>
                <w:szCs w:val="20"/>
              </w:rPr>
            </w:pPr>
            <w:r>
              <w:rPr>
                <w:rFonts w:ascii="等线" w:hAnsi="等线" w:eastAsia="等线" w:cs="Times New Roman"/>
                <w:spacing w:val="7"/>
                <w:sz w:val="20"/>
                <w:szCs w:val="20"/>
              </w:rPr>
              <w:t>供应商</w:t>
            </w:r>
          </w:p>
          <w:p w14:paraId="0B59068E">
            <w:pPr>
              <w:kinsoku w:val="0"/>
              <w:autoSpaceDE w:val="0"/>
              <w:autoSpaceDN w:val="0"/>
              <w:adjustRightInd w:val="0"/>
              <w:snapToGrid w:val="0"/>
              <w:spacing w:before="68" w:line="278" w:lineRule="auto"/>
              <w:ind w:right="169"/>
              <w:jc w:val="center"/>
              <w:textAlignment w:val="baseline"/>
              <w:rPr>
                <w:rFonts w:hint="default" w:ascii="宋体" w:hAnsi="宋体" w:eastAsia="宋体" w:cs="宋体"/>
                <w:snapToGrid w:val="0"/>
                <w:color w:val="000000"/>
                <w:kern w:val="0"/>
                <w:sz w:val="20"/>
                <w:szCs w:val="20"/>
                <w:lang w:val="en-US" w:eastAsia="zh-CN" w:bidi="ar-SA"/>
              </w:rPr>
            </w:pPr>
            <w:r>
              <w:rPr>
                <w:rFonts w:ascii="等线" w:hAnsi="等线" w:eastAsia="等线" w:cs="Times New Roman"/>
                <w:spacing w:val="7"/>
                <w:sz w:val="20"/>
                <w:szCs w:val="20"/>
              </w:rPr>
              <w:t>名</w:t>
            </w:r>
            <w:r>
              <w:rPr>
                <w:rFonts w:ascii="等线" w:hAnsi="等线" w:eastAsia="等线" w:cs="Times New Roman"/>
                <w:spacing w:val="1"/>
                <w:sz w:val="20"/>
                <w:szCs w:val="20"/>
              </w:rPr>
              <w:t>称</w:t>
            </w:r>
          </w:p>
        </w:tc>
        <w:tc>
          <w:tcPr>
            <w:tcW w:w="2171" w:type="pct"/>
            <w:gridSpan w:val="3"/>
            <w:vAlign w:val="center"/>
          </w:tcPr>
          <w:p w14:paraId="7FBD440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624" w:type="pct"/>
            <w:vAlign w:val="top"/>
          </w:tcPr>
          <w:p w14:paraId="71AFD58C">
            <w:pPr>
              <w:kinsoku w:val="0"/>
              <w:autoSpaceDE w:val="0"/>
              <w:autoSpaceDN w:val="0"/>
              <w:adjustRightInd w:val="0"/>
              <w:snapToGrid w:val="0"/>
              <w:spacing w:before="236" w:line="228" w:lineRule="auto"/>
              <w:ind w:left="13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考核日期</w:t>
            </w:r>
          </w:p>
        </w:tc>
        <w:tc>
          <w:tcPr>
            <w:tcW w:w="1580" w:type="pct"/>
            <w:gridSpan w:val="2"/>
            <w:vAlign w:val="center"/>
          </w:tcPr>
          <w:p w14:paraId="2601CF8C">
            <w:pPr>
              <w:tabs>
                <w:tab w:val="left" w:pos="930"/>
              </w:tabs>
              <w:kinsoku w:val="0"/>
              <w:autoSpaceDE w:val="0"/>
              <w:autoSpaceDN w:val="0"/>
              <w:adjustRightInd w:val="0"/>
              <w:snapToGrid w:val="0"/>
              <w:spacing w:before="236" w:line="228" w:lineRule="auto"/>
              <w:jc w:val="center"/>
              <w:textAlignment w:val="baseline"/>
              <w:rPr>
                <w:rFonts w:hint="default" w:ascii="宋体" w:hAnsi="宋体" w:eastAsia="宋体" w:cs="宋体"/>
                <w:snapToGrid w:val="0"/>
                <w:color w:val="000000"/>
                <w:kern w:val="0"/>
                <w:sz w:val="20"/>
                <w:szCs w:val="20"/>
                <w:u w:val="single"/>
                <w:lang w:val="en-US" w:eastAsia="zh-CN" w:bidi="ar-SA"/>
              </w:rPr>
            </w:pPr>
            <w:r>
              <w:rPr>
                <w:rFonts w:hint="eastAsia" w:ascii="宋体" w:hAnsi="宋体" w:eastAsia="宋体" w:cs="宋体"/>
                <w:snapToGrid w:val="0"/>
                <w:color w:val="000000"/>
                <w:kern w:val="0"/>
                <w:sz w:val="20"/>
                <w:szCs w:val="20"/>
                <w:u w:val="single"/>
                <w:lang w:val="en-US" w:eastAsia="zh-CN" w:bidi="ar-SA"/>
              </w:rPr>
              <w:t xml:space="preserve">      年第    季度</w:t>
            </w:r>
          </w:p>
        </w:tc>
      </w:tr>
      <w:tr w14:paraId="217BB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623" w:type="pct"/>
            <w:vAlign w:val="top"/>
          </w:tcPr>
          <w:p w14:paraId="3C5A3E9D">
            <w:pPr>
              <w:kinsoku w:val="0"/>
              <w:autoSpaceDE w:val="0"/>
              <w:autoSpaceDN w:val="0"/>
              <w:adjustRightInd w:val="0"/>
              <w:snapToGrid w:val="0"/>
              <w:spacing w:before="232" w:line="228" w:lineRule="auto"/>
              <w:ind w:left="17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考核项目</w:t>
            </w:r>
          </w:p>
        </w:tc>
        <w:tc>
          <w:tcPr>
            <w:tcW w:w="434" w:type="pct"/>
            <w:vAlign w:val="top"/>
          </w:tcPr>
          <w:p w14:paraId="2C73D860">
            <w:pPr>
              <w:kinsoku w:val="0"/>
              <w:autoSpaceDE w:val="0"/>
              <w:autoSpaceDN w:val="0"/>
              <w:adjustRightInd w:val="0"/>
              <w:snapToGrid w:val="0"/>
              <w:spacing w:before="63" w:line="278" w:lineRule="auto"/>
              <w:ind w:left="133" w:right="109" w:hanging="22"/>
              <w:jc w:val="center"/>
              <w:textAlignment w:val="baseline"/>
              <w:rPr>
                <w:rFonts w:hint="eastAsia" w:ascii="宋体" w:hAnsi="宋体" w:eastAsia="宋体" w:cs="宋体"/>
                <w:snapToGrid w:val="0"/>
                <w:color w:val="000000"/>
                <w:spacing w:val="-17"/>
                <w:kern w:val="0"/>
                <w:sz w:val="20"/>
                <w:szCs w:val="20"/>
                <w:lang w:val="en-US" w:eastAsia="zh-CN" w:bidi="ar-SA"/>
              </w:rPr>
            </w:pPr>
            <w:r>
              <w:rPr>
                <w:rFonts w:hint="eastAsia" w:ascii="宋体" w:hAnsi="宋体" w:eastAsia="宋体" w:cs="宋体"/>
                <w:snapToGrid w:val="0"/>
                <w:color w:val="000000"/>
                <w:spacing w:val="-17"/>
                <w:kern w:val="0"/>
                <w:sz w:val="20"/>
                <w:szCs w:val="20"/>
                <w:lang w:val="en-US" w:eastAsia="zh-CN" w:bidi="ar-SA"/>
              </w:rPr>
              <w:t>所占</w:t>
            </w:r>
          </w:p>
          <w:p w14:paraId="09959E68">
            <w:pPr>
              <w:kinsoku w:val="0"/>
              <w:autoSpaceDE w:val="0"/>
              <w:autoSpaceDN w:val="0"/>
              <w:adjustRightInd w:val="0"/>
              <w:snapToGrid w:val="0"/>
              <w:spacing w:before="63" w:line="278" w:lineRule="auto"/>
              <w:ind w:left="133" w:right="109" w:hanging="22"/>
              <w:jc w:val="center"/>
              <w:textAlignment w:val="baseline"/>
              <w:rPr>
                <w:rFonts w:hint="default"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spacing w:val="-17"/>
                <w:kern w:val="0"/>
                <w:sz w:val="20"/>
                <w:szCs w:val="20"/>
                <w:lang w:val="en-US" w:eastAsia="zh-CN" w:bidi="ar-SA"/>
              </w:rPr>
              <w:t>比例</w:t>
            </w:r>
          </w:p>
        </w:tc>
        <w:tc>
          <w:tcPr>
            <w:tcW w:w="3442" w:type="pct"/>
            <w:gridSpan w:val="4"/>
            <w:vAlign w:val="center"/>
          </w:tcPr>
          <w:p w14:paraId="2AB8ED5F">
            <w:pPr>
              <w:kinsoku w:val="0"/>
              <w:autoSpaceDE w:val="0"/>
              <w:autoSpaceDN w:val="0"/>
              <w:adjustRightInd w:val="0"/>
              <w:snapToGrid w:val="0"/>
              <w:spacing w:before="232"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考核指标具体描述</w:t>
            </w:r>
          </w:p>
        </w:tc>
        <w:tc>
          <w:tcPr>
            <w:tcW w:w="500" w:type="pct"/>
            <w:vAlign w:val="center"/>
          </w:tcPr>
          <w:p w14:paraId="5B51A2CE">
            <w:pPr>
              <w:kinsoku w:val="0"/>
              <w:autoSpaceDE w:val="0"/>
              <w:autoSpaceDN w:val="0"/>
              <w:adjustRightInd w:val="0"/>
              <w:snapToGrid w:val="0"/>
              <w:spacing w:before="232" w:line="228" w:lineRule="auto"/>
              <w:ind w:left="25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得分</w:t>
            </w:r>
          </w:p>
        </w:tc>
      </w:tr>
      <w:tr w14:paraId="3339A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623" w:type="pct"/>
            <w:vMerge w:val="restart"/>
            <w:tcBorders>
              <w:bottom w:val="nil"/>
            </w:tcBorders>
            <w:vAlign w:val="center"/>
          </w:tcPr>
          <w:p w14:paraId="65920F8F">
            <w:pPr>
              <w:kinsoku w:val="0"/>
              <w:autoSpaceDE w:val="0"/>
              <w:autoSpaceDN w:val="0"/>
              <w:adjustRightInd w:val="0"/>
              <w:snapToGrid w:val="0"/>
              <w:spacing w:before="65" w:line="297" w:lineRule="auto"/>
              <w:ind w:right="169"/>
              <w:jc w:val="center"/>
              <w:textAlignment w:val="baseline"/>
              <w:rPr>
                <w:rFonts w:ascii="宋体" w:hAnsi="宋体" w:eastAsia="宋体" w:cs="宋体"/>
                <w:snapToGrid w:val="0"/>
                <w:color w:val="000000"/>
                <w:kern w:val="0"/>
                <w:sz w:val="20"/>
                <w:szCs w:val="20"/>
                <w:lang w:val="en-US" w:eastAsia="en-US" w:bidi="ar-SA"/>
              </w:rPr>
            </w:pPr>
            <w:r>
              <w:rPr>
                <w:rFonts w:ascii="等线" w:hAnsi="等线" w:eastAsia="等线" w:cs="Times New Roman"/>
                <w:spacing w:val="7"/>
                <w:sz w:val="20"/>
                <w:szCs w:val="20"/>
              </w:rPr>
              <w:t>服务响应</w:t>
            </w:r>
            <w:r>
              <w:rPr>
                <w:rFonts w:ascii="等线" w:hAnsi="等线" w:eastAsia="等线" w:cs="Times New Roman"/>
                <w:spacing w:val="-1"/>
                <w:sz w:val="20"/>
                <w:szCs w:val="20"/>
              </w:rPr>
              <w:t>时间</w:t>
            </w:r>
          </w:p>
        </w:tc>
        <w:tc>
          <w:tcPr>
            <w:tcW w:w="434" w:type="pct"/>
            <w:vMerge w:val="restart"/>
            <w:tcBorders>
              <w:bottom w:val="nil"/>
            </w:tcBorders>
            <w:vAlign w:val="center"/>
          </w:tcPr>
          <w:p w14:paraId="64AFEC66">
            <w:pPr>
              <w:kinsoku w:val="0"/>
              <w:autoSpaceDE w:val="0"/>
              <w:autoSpaceDN w:val="0"/>
              <w:adjustRightInd w:val="0"/>
              <w:snapToGrid w:val="0"/>
              <w:spacing w:before="65"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30</w:t>
            </w:r>
          </w:p>
        </w:tc>
        <w:tc>
          <w:tcPr>
            <w:tcW w:w="745" w:type="pct"/>
            <w:vAlign w:val="center"/>
          </w:tcPr>
          <w:p w14:paraId="67B433AF">
            <w:pPr>
              <w:kinsoku w:val="0"/>
              <w:autoSpaceDE w:val="0"/>
              <w:autoSpaceDN w:val="0"/>
              <w:adjustRightInd w:val="0"/>
              <w:snapToGrid w:val="0"/>
              <w:spacing w:before="65"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设计服务</w:t>
            </w:r>
          </w:p>
        </w:tc>
        <w:tc>
          <w:tcPr>
            <w:tcW w:w="2696" w:type="pct"/>
            <w:gridSpan w:val="3"/>
            <w:vAlign w:val="center"/>
          </w:tcPr>
          <w:p w14:paraId="3F11BB9F">
            <w:pPr>
              <w:numPr>
                <w:ilvl w:val="0"/>
                <w:numId w:val="0"/>
              </w:numPr>
              <w:kinsoku w:val="0"/>
              <w:autoSpaceDE w:val="0"/>
              <w:autoSpaceDN w:val="0"/>
              <w:adjustRightInd w:val="0"/>
              <w:snapToGrid w:val="0"/>
              <w:spacing w:before="65" w:line="228" w:lineRule="auto"/>
              <w:ind w:left="113" w:leftChars="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r>
              <w:rPr>
                <w:rFonts w:hint="eastAsia" w:ascii="宋体" w:hAnsi="宋体" w:eastAsia="宋体" w:cs="宋体"/>
                <w:snapToGrid w:val="0"/>
                <w:color w:val="000000"/>
                <w:spacing w:val="6"/>
                <w:kern w:val="0"/>
                <w:sz w:val="20"/>
                <w:szCs w:val="20"/>
                <w:lang w:val="en-US" w:eastAsia="zh-CN" w:bidi="ar-SA"/>
              </w:rPr>
              <w:t>科室联系后的24小时内做出初步回应。初步回应的内容包括确认收到科室的请求以及预计完成进展的时间、预计价格。</w:t>
            </w:r>
            <w:r>
              <w:rPr>
                <w:rFonts w:hint="eastAsia" w:ascii="宋体" w:hAnsi="宋体" w:eastAsia="宋体" w:cs="宋体"/>
                <w:snapToGrid w:val="0"/>
                <w:color w:val="000000"/>
                <w:spacing w:val="6"/>
                <w:kern w:val="0"/>
                <w:sz w:val="20"/>
                <w:szCs w:val="20"/>
                <w:lang w:val="en-US" w:eastAsia="zh-CN" w:bidi="ar-SA"/>
              </w:rPr>
              <w:br w:type="textWrapping"/>
            </w:r>
            <w:r>
              <w:rPr>
                <w:rFonts w:hint="eastAsia" w:ascii="宋体" w:hAnsi="宋体" w:eastAsia="宋体" w:cs="宋体"/>
                <w:snapToGrid w:val="0"/>
                <w:color w:val="000000"/>
                <w:spacing w:val="6"/>
                <w:kern w:val="0"/>
                <w:sz w:val="20"/>
                <w:szCs w:val="20"/>
                <w:lang w:val="en-US" w:eastAsia="zh-CN" w:bidi="ar-SA"/>
              </w:rPr>
              <w:t>2.在非工作时间内的请求提供一个紧急联系人在紧急情况时对接工作。 以上如符合条件得15分。</w:t>
            </w:r>
          </w:p>
        </w:tc>
        <w:tc>
          <w:tcPr>
            <w:tcW w:w="500" w:type="pct"/>
            <w:vMerge w:val="restart"/>
            <w:tcBorders>
              <w:bottom w:val="nil"/>
            </w:tcBorders>
            <w:vAlign w:val="top"/>
          </w:tcPr>
          <w:p w14:paraId="2642FA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B5AB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jc w:val="center"/>
        </w:trPr>
        <w:tc>
          <w:tcPr>
            <w:tcW w:w="623" w:type="pct"/>
            <w:vMerge w:val="continue"/>
            <w:tcBorders>
              <w:top w:val="nil"/>
            </w:tcBorders>
            <w:vAlign w:val="center"/>
          </w:tcPr>
          <w:p w14:paraId="1BE0B68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434" w:type="pct"/>
            <w:vMerge w:val="continue"/>
            <w:tcBorders>
              <w:top w:val="nil"/>
            </w:tcBorders>
            <w:vAlign w:val="center"/>
          </w:tcPr>
          <w:p w14:paraId="3D383A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5" w:type="pct"/>
            <w:vAlign w:val="center"/>
          </w:tcPr>
          <w:p w14:paraId="5A1966CE">
            <w:pPr>
              <w:kinsoku w:val="0"/>
              <w:autoSpaceDE w:val="0"/>
              <w:autoSpaceDN w:val="0"/>
              <w:adjustRightInd w:val="0"/>
              <w:snapToGrid w:val="0"/>
              <w:spacing w:before="65" w:line="228" w:lineRule="auto"/>
              <w:ind w:left="2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维修服务</w:t>
            </w:r>
          </w:p>
        </w:tc>
        <w:tc>
          <w:tcPr>
            <w:tcW w:w="2696" w:type="pct"/>
            <w:gridSpan w:val="3"/>
            <w:vAlign w:val="center"/>
          </w:tcPr>
          <w:p w14:paraId="7F54FD15">
            <w:pPr>
              <w:kinsoku w:val="0"/>
              <w:autoSpaceDE w:val="0"/>
              <w:autoSpaceDN w:val="0"/>
              <w:adjustRightInd w:val="0"/>
              <w:snapToGrid w:val="0"/>
              <w:spacing w:before="65" w:line="228" w:lineRule="auto"/>
              <w:ind w:left="113"/>
              <w:jc w:val="left"/>
              <w:textAlignment w:val="baseline"/>
              <w:rPr>
                <w:rFonts w:hint="eastAsia" w:ascii="宋体" w:hAnsi="宋体" w:eastAsia="宋体" w:cs="宋体"/>
                <w:snapToGrid w:val="0"/>
                <w:color w:val="000000"/>
                <w:spacing w:val="6"/>
                <w:kern w:val="0"/>
                <w:sz w:val="20"/>
                <w:szCs w:val="20"/>
                <w:lang w:val="en-US" w:eastAsia="zh-CN" w:bidi="ar-SA"/>
              </w:rPr>
            </w:pPr>
            <w:r>
              <w:rPr>
                <w:rFonts w:hint="eastAsia" w:ascii="宋体" w:hAnsi="宋体" w:eastAsia="宋体" w:cs="宋体"/>
                <w:snapToGrid w:val="0"/>
                <w:color w:val="000000"/>
                <w:spacing w:val="6"/>
                <w:kern w:val="0"/>
                <w:sz w:val="20"/>
                <w:szCs w:val="20"/>
                <w:lang w:val="en-US" w:eastAsia="zh-CN" w:bidi="ar-SA"/>
              </w:rPr>
              <w:t>售后服务响应的及时和有效；售后服务解决问题的准确性和专业性；</w:t>
            </w:r>
          </w:p>
          <w:p w14:paraId="42B564DE">
            <w:pPr>
              <w:numPr>
                <w:ilvl w:val="0"/>
                <w:numId w:val="0"/>
              </w:numPr>
              <w:kinsoku w:val="0"/>
              <w:autoSpaceDE w:val="0"/>
              <w:autoSpaceDN w:val="0"/>
              <w:adjustRightInd w:val="0"/>
              <w:snapToGrid w:val="0"/>
              <w:spacing w:before="65" w:line="228" w:lineRule="auto"/>
              <w:ind w:left="113" w:leftChars="0"/>
              <w:jc w:val="left"/>
              <w:textAlignment w:val="baseline"/>
              <w:rPr>
                <w:rFonts w:hint="eastAsia" w:ascii="宋体" w:hAnsi="宋体" w:eastAsia="宋体" w:cs="宋体"/>
                <w:snapToGrid w:val="0"/>
                <w:color w:val="000000"/>
                <w:spacing w:val="6"/>
                <w:kern w:val="0"/>
                <w:sz w:val="20"/>
                <w:szCs w:val="20"/>
                <w:lang w:val="en-US" w:eastAsia="zh-CN" w:bidi="ar-SA"/>
              </w:rPr>
            </w:pPr>
            <w:r>
              <w:rPr>
                <w:rFonts w:hint="eastAsia" w:ascii="宋体" w:hAnsi="宋体" w:eastAsia="宋体" w:cs="宋体"/>
                <w:snapToGrid w:val="0"/>
                <w:color w:val="000000"/>
                <w:spacing w:val="6"/>
                <w:kern w:val="0"/>
                <w:sz w:val="20"/>
                <w:szCs w:val="20"/>
                <w:lang w:val="en-US" w:eastAsia="zh-CN" w:bidi="ar-SA"/>
              </w:rPr>
              <w:t>售后服务流程的规范性和完善性；</w:t>
            </w:r>
          </w:p>
          <w:p w14:paraId="3A5F7020">
            <w:pPr>
              <w:numPr>
                <w:ilvl w:val="0"/>
                <w:numId w:val="0"/>
              </w:numPr>
              <w:kinsoku w:val="0"/>
              <w:autoSpaceDE w:val="0"/>
              <w:autoSpaceDN w:val="0"/>
              <w:adjustRightInd w:val="0"/>
              <w:snapToGrid w:val="0"/>
              <w:spacing w:before="65" w:line="228" w:lineRule="auto"/>
              <w:ind w:left="113" w:leftChars="0"/>
              <w:jc w:val="left"/>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zh-CN" w:bidi="ar-SA"/>
              </w:rPr>
              <w:t>能够安排专业设计师（至少2名）负责医院物料制作项目。在接到紧急工作安排后能有1名人员在40分钟内到场响应；以上如符合条件得15分。</w:t>
            </w:r>
          </w:p>
        </w:tc>
        <w:tc>
          <w:tcPr>
            <w:tcW w:w="500" w:type="pct"/>
            <w:vMerge w:val="continue"/>
            <w:tcBorders>
              <w:top w:val="nil"/>
            </w:tcBorders>
            <w:vAlign w:val="top"/>
          </w:tcPr>
          <w:p w14:paraId="567222E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6225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23" w:type="pct"/>
            <w:vAlign w:val="center"/>
          </w:tcPr>
          <w:p w14:paraId="6C89FE62">
            <w:pPr>
              <w:kinsoku w:val="0"/>
              <w:autoSpaceDE w:val="0"/>
              <w:autoSpaceDN w:val="0"/>
              <w:adjustRightInd w:val="0"/>
              <w:snapToGrid w:val="0"/>
              <w:spacing w:before="233"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设计效果</w:t>
            </w:r>
          </w:p>
        </w:tc>
        <w:tc>
          <w:tcPr>
            <w:tcW w:w="434" w:type="pct"/>
            <w:vAlign w:val="center"/>
          </w:tcPr>
          <w:p w14:paraId="00D45D44">
            <w:pPr>
              <w:kinsoku w:val="0"/>
              <w:autoSpaceDE w:val="0"/>
              <w:autoSpaceDN w:val="0"/>
              <w:adjustRightInd w:val="0"/>
              <w:snapToGrid w:val="0"/>
              <w:spacing w:before="266" w:line="189" w:lineRule="auto"/>
              <w:ind w:left="3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20</w:t>
            </w:r>
          </w:p>
        </w:tc>
        <w:tc>
          <w:tcPr>
            <w:tcW w:w="3442" w:type="pct"/>
            <w:gridSpan w:val="4"/>
            <w:vAlign w:val="center"/>
          </w:tcPr>
          <w:p w14:paraId="7F3E7FA3">
            <w:pPr>
              <w:kinsoku w:val="0"/>
              <w:autoSpaceDE w:val="0"/>
              <w:autoSpaceDN w:val="0"/>
              <w:adjustRightInd w:val="0"/>
              <w:snapToGrid w:val="0"/>
              <w:spacing w:before="65" w:line="228" w:lineRule="auto"/>
              <w:ind w:left="113"/>
              <w:jc w:val="left"/>
              <w:textAlignment w:val="baseline"/>
              <w:rPr>
                <w:rFonts w:hint="eastAsia" w:ascii="宋体" w:hAnsi="宋体" w:eastAsia="宋体" w:cs="宋体"/>
                <w:snapToGrid w:val="0"/>
                <w:color w:val="000000"/>
                <w:spacing w:val="6"/>
                <w:kern w:val="0"/>
                <w:sz w:val="20"/>
                <w:szCs w:val="20"/>
                <w:lang w:val="en-US" w:eastAsia="zh-CN" w:bidi="ar-SA"/>
              </w:rPr>
            </w:pPr>
            <w:r>
              <w:rPr>
                <w:rFonts w:hint="eastAsia" w:ascii="宋体" w:hAnsi="宋体" w:eastAsia="宋体" w:cs="宋体"/>
                <w:snapToGrid w:val="0"/>
                <w:color w:val="000000"/>
                <w:spacing w:val="6"/>
                <w:kern w:val="0"/>
                <w:sz w:val="20"/>
                <w:szCs w:val="20"/>
                <w:lang w:val="en-US" w:eastAsia="zh-CN" w:bidi="ar-SA"/>
              </w:rPr>
              <w:t>设计内容表达清晰明确，符合医院的设计需求，且独立完成；</w:t>
            </w:r>
            <w:r>
              <w:rPr>
                <w:rFonts w:hint="eastAsia" w:ascii="宋体" w:hAnsi="宋体" w:eastAsia="宋体" w:cs="宋体"/>
                <w:snapToGrid w:val="0"/>
                <w:color w:val="000000"/>
                <w:spacing w:val="6"/>
                <w:kern w:val="0"/>
                <w:sz w:val="20"/>
                <w:szCs w:val="20"/>
                <w:lang w:val="en-US" w:eastAsia="zh-CN" w:bidi="ar-SA"/>
              </w:rPr>
              <w:br w:type="textWrapping"/>
            </w:r>
            <w:r>
              <w:rPr>
                <w:rFonts w:hint="eastAsia" w:ascii="宋体" w:hAnsi="宋体" w:eastAsia="宋体" w:cs="宋体"/>
                <w:snapToGrid w:val="0"/>
                <w:color w:val="000000"/>
                <w:spacing w:val="6"/>
                <w:kern w:val="0"/>
                <w:sz w:val="20"/>
                <w:szCs w:val="20"/>
                <w:lang w:val="en-US" w:eastAsia="zh-CN" w:bidi="ar-SA"/>
              </w:rPr>
              <w:t>设计方案需提供清晰明确的图纸信息，内容不符合院方要求有及时修改设计内容直至院方满意。</w:t>
            </w:r>
          </w:p>
          <w:p w14:paraId="76C13871">
            <w:pPr>
              <w:kinsoku w:val="0"/>
              <w:autoSpaceDE w:val="0"/>
              <w:autoSpaceDN w:val="0"/>
              <w:adjustRightInd w:val="0"/>
              <w:snapToGrid w:val="0"/>
              <w:spacing w:before="65" w:line="228" w:lineRule="auto"/>
              <w:ind w:left="113"/>
              <w:jc w:val="left"/>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zh-CN" w:bidi="ar-SA"/>
              </w:rPr>
              <w:t>以上如符合条件得20分。</w:t>
            </w:r>
          </w:p>
        </w:tc>
        <w:tc>
          <w:tcPr>
            <w:tcW w:w="500" w:type="pct"/>
            <w:vAlign w:val="top"/>
          </w:tcPr>
          <w:p w14:paraId="7804BDB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B146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623" w:type="pct"/>
            <w:vAlign w:val="center"/>
          </w:tcPr>
          <w:p w14:paraId="1ED01294">
            <w:pPr>
              <w:kinsoku w:val="0"/>
              <w:autoSpaceDE w:val="0"/>
              <w:autoSpaceDN w:val="0"/>
              <w:adjustRightInd w:val="0"/>
              <w:snapToGrid w:val="0"/>
              <w:spacing w:before="67"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出品把控</w:t>
            </w:r>
          </w:p>
        </w:tc>
        <w:tc>
          <w:tcPr>
            <w:tcW w:w="434" w:type="pct"/>
            <w:vAlign w:val="center"/>
          </w:tcPr>
          <w:p w14:paraId="0666C9FB">
            <w:pPr>
              <w:kinsoku w:val="0"/>
              <w:autoSpaceDE w:val="0"/>
              <w:autoSpaceDN w:val="0"/>
              <w:adjustRightInd w:val="0"/>
              <w:snapToGrid w:val="0"/>
              <w:spacing w:before="100" w:line="189" w:lineRule="auto"/>
              <w:ind w:left="3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20</w:t>
            </w:r>
          </w:p>
        </w:tc>
        <w:tc>
          <w:tcPr>
            <w:tcW w:w="3442" w:type="pct"/>
            <w:gridSpan w:val="4"/>
            <w:vAlign w:val="center"/>
          </w:tcPr>
          <w:p w14:paraId="791E6483">
            <w:pPr>
              <w:kinsoku w:val="0"/>
              <w:autoSpaceDE w:val="0"/>
              <w:autoSpaceDN w:val="0"/>
              <w:adjustRightInd w:val="0"/>
              <w:snapToGrid w:val="0"/>
              <w:spacing w:before="65" w:line="228" w:lineRule="auto"/>
              <w:ind w:left="113"/>
              <w:jc w:val="left"/>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zh-CN" w:bidi="ar-SA"/>
              </w:rPr>
              <w:t>产品需满足合同要求，且质量、安装需保证安全，无色差，无缺陷。以上如符合条件得20分。</w:t>
            </w:r>
          </w:p>
        </w:tc>
        <w:tc>
          <w:tcPr>
            <w:tcW w:w="500" w:type="pct"/>
            <w:vAlign w:val="top"/>
          </w:tcPr>
          <w:p w14:paraId="398410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5375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jc w:val="center"/>
        </w:trPr>
        <w:tc>
          <w:tcPr>
            <w:tcW w:w="623" w:type="pct"/>
            <w:vMerge w:val="restart"/>
            <w:tcBorders>
              <w:bottom w:val="single" w:color="000000" w:sz="2" w:space="0"/>
            </w:tcBorders>
            <w:vAlign w:val="center"/>
          </w:tcPr>
          <w:p w14:paraId="06F6E421">
            <w:pPr>
              <w:kinsoku w:val="0"/>
              <w:autoSpaceDE w:val="0"/>
              <w:autoSpaceDN w:val="0"/>
              <w:adjustRightInd w:val="0"/>
              <w:snapToGrid w:val="0"/>
              <w:spacing w:before="65" w:line="22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人员配置</w:t>
            </w:r>
          </w:p>
        </w:tc>
        <w:tc>
          <w:tcPr>
            <w:tcW w:w="434" w:type="pct"/>
            <w:vMerge w:val="restart"/>
            <w:tcBorders>
              <w:bottom w:val="single" w:color="000000" w:sz="2" w:space="0"/>
            </w:tcBorders>
            <w:vAlign w:val="center"/>
          </w:tcPr>
          <w:p w14:paraId="21255184">
            <w:pPr>
              <w:kinsoku w:val="0"/>
              <w:autoSpaceDE w:val="0"/>
              <w:autoSpaceDN w:val="0"/>
              <w:adjustRightInd w:val="0"/>
              <w:snapToGrid w:val="0"/>
              <w:spacing w:before="65"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20</w:t>
            </w:r>
          </w:p>
        </w:tc>
        <w:tc>
          <w:tcPr>
            <w:tcW w:w="745" w:type="pct"/>
            <w:tcBorders>
              <w:bottom w:val="single" w:color="000000" w:sz="2" w:space="0"/>
            </w:tcBorders>
            <w:vAlign w:val="top"/>
          </w:tcPr>
          <w:p w14:paraId="6C743D0C">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eastAsia="en-US"/>
              </w:rPr>
            </w:pPr>
          </w:p>
          <w:p w14:paraId="036EB06E">
            <w:pPr>
              <w:kinsoku w:val="0"/>
              <w:autoSpaceDE w:val="0"/>
              <w:autoSpaceDN w:val="0"/>
              <w:adjustRightInd w:val="0"/>
              <w:snapToGrid w:val="0"/>
              <w:spacing w:before="65" w:line="228" w:lineRule="auto"/>
              <w:ind w:left="13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项目负责人</w:t>
            </w:r>
          </w:p>
        </w:tc>
        <w:tc>
          <w:tcPr>
            <w:tcW w:w="2696" w:type="pct"/>
            <w:gridSpan w:val="3"/>
            <w:vAlign w:val="center"/>
          </w:tcPr>
          <w:p w14:paraId="65E26EE1">
            <w:pPr>
              <w:kinsoku w:val="0"/>
              <w:autoSpaceDE w:val="0"/>
              <w:autoSpaceDN w:val="0"/>
              <w:adjustRightInd w:val="0"/>
              <w:snapToGrid w:val="0"/>
              <w:spacing w:before="65" w:line="228" w:lineRule="auto"/>
              <w:ind w:left="113"/>
              <w:jc w:val="left"/>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zh-CN" w:bidi="ar-SA"/>
              </w:rPr>
              <w:t>固定一个对接联络人，以确保能够更快速地响应需求。该联系人将负责与客户保持紧密的沟通，并协调内部团队提供所需的支持。以上如符合条件得20分。</w:t>
            </w:r>
          </w:p>
        </w:tc>
        <w:tc>
          <w:tcPr>
            <w:tcW w:w="500" w:type="pct"/>
            <w:vAlign w:val="top"/>
          </w:tcPr>
          <w:p w14:paraId="0BCE300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799A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jc w:val="center"/>
        </w:trPr>
        <w:tc>
          <w:tcPr>
            <w:tcW w:w="623" w:type="pct"/>
            <w:vMerge w:val="continue"/>
            <w:tcBorders>
              <w:top w:val="single" w:color="000000" w:sz="2" w:space="0"/>
            </w:tcBorders>
            <w:vAlign w:val="top"/>
          </w:tcPr>
          <w:p w14:paraId="28C17F9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34" w:type="pct"/>
            <w:vMerge w:val="continue"/>
            <w:tcBorders>
              <w:top w:val="single" w:color="000000" w:sz="2" w:space="0"/>
            </w:tcBorders>
            <w:vAlign w:val="top"/>
          </w:tcPr>
          <w:p w14:paraId="13C76BE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5" w:type="pct"/>
            <w:tcBorders>
              <w:top w:val="single" w:color="000000" w:sz="2" w:space="0"/>
            </w:tcBorders>
            <w:vAlign w:val="top"/>
          </w:tcPr>
          <w:p w14:paraId="13ACD1F8">
            <w:pPr>
              <w:kinsoku w:val="0"/>
              <w:autoSpaceDE w:val="0"/>
              <w:autoSpaceDN w:val="0"/>
              <w:adjustRightInd w:val="0"/>
              <w:snapToGrid w:val="0"/>
              <w:spacing w:before="65" w:line="228" w:lineRule="auto"/>
              <w:ind w:left="13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专业设计人员</w:t>
            </w:r>
          </w:p>
        </w:tc>
        <w:tc>
          <w:tcPr>
            <w:tcW w:w="2696" w:type="pct"/>
            <w:gridSpan w:val="3"/>
            <w:vAlign w:val="center"/>
          </w:tcPr>
          <w:p w14:paraId="239E9AA7">
            <w:pPr>
              <w:kinsoku w:val="0"/>
              <w:autoSpaceDE w:val="0"/>
              <w:autoSpaceDN w:val="0"/>
              <w:adjustRightInd w:val="0"/>
              <w:snapToGrid w:val="0"/>
              <w:spacing w:before="65" w:line="228" w:lineRule="auto"/>
              <w:ind w:left="113"/>
              <w:jc w:val="left"/>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zh-CN" w:bidi="ar-SA"/>
              </w:rPr>
              <w:t>配备固定的专业设计人员，配备的设计人员的标准满足合同要求，责任心强、具有良好的专业水平和沟通协调能力，可进行独立设计，至少2名固定设计人员。以上如符合条件得20分。</w:t>
            </w:r>
          </w:p>
        </w:tc>
        <w:tc>
          <w:tcPr>
            <w:tcW w:w="500" w:type="pct"/>
            <w:vAlign w:val="top"/>
          </w:tcPr>
          <w:p w14:paraId="70B0D6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69E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23" w:type="pct"/>
            <w:vAlign w:val="top"/>
          </w:tcPr>
          <w:p w14:paraId="58C2F78F">
            <w:pPr>
              <w:kinsoku w:val="0"/>
              <w:autoSpaceDE w:val="0"/>
              <w:autoSpaceDN w:val="0"/>
              <w:adjustRightInd w:val="0"/>
              <w:snapToGrid w:val="0"/>
              <w:spacing w:before="67" w:line="228" w:lineRule="auto"/>
              <w:ind w:left="17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合作服务</w:t>
            </w:r>
          </w:p>
        </w:tc>
        <w:tc>
          <w:tcPr>
            <w:tcW w:w="434" w:type="pct"/>
            <w:vAlign w:val="top"/>
          </w:tcPr>
          <w:p w14:paraId="766626A6">
            <w:pPr>
              <w:kinsoku w:val="0"/>
              <w:autoSpaceDE w:val="0"/>
              <w:autoSpaceDN w:val="0"/>
              <w:adjustRightInd w:val="0"/>
              <w:snapToGrid w:val="0"/>
              <w:spacing w:before="99" w:line="190" w:lineRule="auto"/>
              <w:ind w:left="32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10</w:t>
            </w:r>
          </w:p>
        </w:tc>
        <w:tc>
          <w:tcPr>
            <w:tcW w:w="3442" w:type="pct"/>
            <w:gridSpan w:val="4"/>
            <w:vAlign w:val="top"/>
          </w:tcPr>
          <w:p w14:paraId="51ABC94A">
            <w:pPr>
              <w:kinsoku w:val="0"/>
              <w:autoSpaceDE w:val="0"/>
              <w:autoSpaceDN w:val="0"/>
              <w:adjustRightInd w:val="0"/>
              <w:snapToGrid w:val="0"/>
              <w:spacing w:before="67" w:line="227" w:lineRule="auto"/>
              <w:ind w:firstLine="218" w:firstLineChars="10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需做到沟通与配合、敬业精神和服务态度、</w:t>
            </w:r>
            <w:r>
              <w:rPr>
                <w:rFonts w:ascii="宋体" w:hAnsi="宋体" w:eastAsia="宋体" w:cs="宋体"/>
                <w:snapToGrid w:val="0"/>
                <w:color w:val="000000"/>
                <w:spacing w:val="8"/>
                <w:kern w:val="0"/>
                <w:sz w:val="20"/>
                <w:szCs w:val="20"/>
                <w:lang w:val="en-US" w:eastAsia="en-US" w:bidi="ar-SA"/>
              </w:rPr>
              <w:t>工作主动性。</w:t>
            </w:r>
          </w:p>
        </w:tc>
        <w:tc>
          <w:tcPr>
            <w:tcW w:w="500" w:type="pct"/>
            <w:vAlign w:val="top"/>
          </w:tcPr>
          <w:p w14:paraId="7672D71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CC5D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23" w:type="pct"/>
            <w:vAlign w:val="top"/>
          </w:tcPr>
          <w:p w14:paraId="5A9F4B05">
            <w:pPr>
              <w:kinsoku w:val="0"/>
              <w:autoSpaceDE w:val="0"/>
              <w:autoSpaceDN w:val="0"/>
              <w:adjustRightInd w:val="0"/>
              <w:snapToGrid w:val="0"/>
              <w:spacing w:before="68" w:line="228" w:lineRule="auto"/>
              <w:ind w:left="39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总分</w:t>
            </w:r>
          </w:p>
        </w:tc>
        <w:tc>
          <w:tcPr>
            <w:tcW w:w="434" w:type="pct"/>
            <w:vAlign w:val="top"/>
          </w:tcPr>
          <w:p w14:paraId="06C5D148">
            <w:pPr>
              <w:kinsoku w:val="0"/>
              <w:autoSpaceDE w:val="0"/>
              <w:autoSpaceDN w:val="0"/>
              <w:adjustRightInd w:val="0"/>
              <w:snapToGrid w:val="0"/>
              <w:spacing w:before="99" w:line="190" w:lineRule="auto"/>
              <w:ind w:left="27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100</w:t>
            </w:r>
          </w:p>
        </w:tc>
        <w:tc>
          <w:tcPr>
            <w:tcW w:w="3442" w:type="pct"/>
            <w:gridSpan w:val="4"/>
            <w:tcBorders>
              <w:tr2bl w:val="single" w:color="000000" w:sz="4" w:space="0"/>
            </w:tcBorders>
            <w:vAlign w:val="top"/>
          </w:tcPr>
          <w:p w14:paraId="7407AD3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00" w:type="pct"/>
            <w:vAlign w:val="top"/>
          </w:tcPr>
          <w:p w14:paraId="6221B6B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4411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5000" w:type="pct"/>
            <w:gridSpan w:val="7"/>
            <w:vAlign w:val="top"/>
          </w:tcPr>
          <w:p w14:paraId="16EDC76C">
            <w:pPr>
              <w:kinsoku w:val="0"/>
              <w:autoSpaceDE w:val="0"/>
              <w:autoSpaceDN w:val="0"/>
              <w:adjustRightInd w:val="0"/>
              <w:snapToGrid w:val="0"/>
              <w:spacing w:before="68" w:line="228" w:lineRule="auto"/>
              <w:ind w:left="411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得</w:t>
            </w:r>
            <w:r>
              <w:rPr>
                <w:rFonts w:ascii="宋体" w:hAnsi="宋体" w:eastAsia="宋体" w:cs="宋体"/>
                <w:snapToGrid w:val="0"/>
                <w:color w:val="000000"/>
                <w:spacing w:val="16"/>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r>
              <w:rPr>
                <w:rFonts w:ascii="宋体" w:hAnsi="宋体" w:eastAsia="宋体" w:cs="宋体"/>
                <w:snapToGrid w:val="0"/>
                <w:color w:val="000000"/>
                <w:spacing w:val="16"/>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r>
              <w:rPr>
                <w:rFonts w:ascii="宋体" w:hAnsi="宋体" w:eastAsia="宋体" w:cs="宋体"/>
                <w:snapToGrid w:val="0"/>
                <w:color w:val="000000"/>
                <w:spacing w:val="16"/>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级</w:t>
            </w:r>
          </w:p>
        </w:tc>
      </w:tr>
      <w:tr w14:paraId="48FFF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23" w:type="pct"/>
            <w:vAlign w:val="top"/>
          </w:tcPr>
          <w:p w14:paraId="46D543D6">
            <w:pPr>
              <w:kinsoku w:val="0"/>
              <w:autoSpaceDE w:val="0"/>
              <w:autoSpaceDN w:val="0"/>
              <w:adjustRightInd w:val="0"/>
              <w:snapToGrid w:val="0"/>
              <w:spacing w:before="68" w:line="228" w:lineRule="auto"/>
              <w:ind w:left="38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等级</w:t>
            </w:r>
          </w:p>
        </w:tc>
        <w:tc>
          <w:tcPr>
            <w:tcW w:w="1179" w:type="pct"/>
            <w:gridSpan w:val="2"/>
            <w:vAlign w:val="top"/>
          </w:tcPr>
          <w:p w14:paraId="00AAAC72">
            <w:pPr>
              <w:kinsoku w:val="0"/>
              <w:autoSpaceDE w:val="0"/>
              <w:autoSpaceDN w:val="0"/>
              <w:adjustRightInd w:val="0"/>
              <w:snapToGrid w:val="0"/>
              <w:spacing w:before="68" w:line="228" w:lineRule="auto"/>
              <w:ind w:left="64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分数标准</w:t>
            </w:r>
          </w:p>
        </w:tc>
        <w:tc>
          <w:tcPr>
            <w:tcW w:w="3196" w:type="pct"/>
            <w:gridSpan w:val="4"/>
            <w:vAlign w:val="top"/>
          </w:tcPr>
          <w:p w14:paraId="726189DA">
            <w:pPr>
              <w:kinsoku w:val="0"/>
              <w:autoSpaceDE w:val="0"/>
              <w:autoSpaceDN w:val="0"/>
              <w:adjustRightInd w:val="0"/>
              <w:snapToGrid w:val="0"/>
              <w:spacing w:before="69" w:line="228" w:lineRule="auto"/>
              <w:ind w:left="261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相应措施</w:t>
            </w:r>
          </w:p>
        </w:tc>
      </w:tr>
      <w:tr w14:paraId="3D5C8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23" w:type="pct"/>
            <w:vAlign w:val="center"/>
          </w:tcPr>
          <w:p w14:paraId="355FB7A5">
            <w:pPr>
              <w:kinsoku w:val="0"/>
              <w:autoSpaceDE w:val="0"/>
              <w:autoSpaceDN w:val="0"/>
              <w:adjustRightInd w:val="0"/>
              <w:snapToGrid w:val="0"/>
              <w:spacing w:before="100" w:line="190" w:lineRule="auto"/>
              <w:jc w:val="center"/>
              <w:textAlignment w:val="baseline"/>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合格</w:t>
            </w:r>
          </w:p>
        </w:tc>
        <w:tc>
          <w:tcPr>
            <w:tcW w:w="1179" w:type="pct"/>
            <w:gridSpan w:val="2"/>
            <w:vAlign w:val="top"/>
          </w:tcPr>
          <w:p w14:paraId="4DACC18A">
            <w:pPr>
              <w:kinsoku w:val="0"/>
              <w:autoSpaceDE w:val="0"/>
              <w:autoSpaceDN w:val="0"/>
              <w:adjustRightInd w:val="0"/>
              <w:snapToGrid w:val="0"/>
              <w:spacing w:before="68" w:line="228" w:lineRule="auto"/>
              <w:ind w:left="56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90～100</w:t>
            </w:r>
            <w:r>
              <w:rPr>
                <w:rFonts w:ascii="宋体" w:hAnsi="宋体" w:eastAsia="宋体" w:cs="宋体"/>
                <w:snapToGrid w:val="0"/>
                <w:color w:val="000000"/>
                <w:spacing w:val="-34"/>
                <w:kern w:val="0"/>
                <w:sz w:val="20"/>
                <w:szCs w:val="20"/>
                <w:lang w:val="en-US" w:eastAsia="en-US" w:bidi="ar-SA"/>
              </w:rPr>
              <w:t xml:space="preserve"> </w:t>
            </w:r>
            <w:r>
              <w:rPr>
                <w:rFonts w:ascii="宋体" w:hAnsi="宋体" w:eastAsia="宋体" w:cs="宋体"/>
                <w:snapToGrid w:val="0"/>
                <w:color w:val="000000"/>
                <w:spacing w:val="3"/>
                <w:kern w:val="0"/>
                <w:sz w:val="20"/>
                <w:szCs w:val="20"/>
                <w:lang w:val="en-US" w:eastAsia="en-US" w:bidi="ar-SA"/>
              </w:rPr>
              <w:t>分</w:t>
            </w:r>
          </w:p>
        </w:tc>
        <w:tc>
          <w:tcPr>
            <w:tcW w:w="3196" w:type="pct"/>
            <w:gridSpan w:val="4"/>
            <w:vAlign w:val="top"/>
          </w:tcPr>
          <w:p w14:paraId="76CE768F">
            <w:pPr>
              <w:kinsoku w:val="0"/>
              <w:autoSpaceDE w:val="0"/>
              <w:autoSpaceDN w:val="0"/>
              <w:adjustRightInd w:val="0"/>
              <w:snapToGrid w:val="0"/>
              <w:spacing w:before="100" w:line="190" w:lineRule="auto"/>
              <w:jc w:val="center"/>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当季服务费按100%支付</w:t>
            </w:r>
          </w:p>
        </w:tc>
      </w:tr>
      <w:tr w14:paraId="10778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623" w:type="pct"/>
            <w:vAlign w:val="center"/>
          </w:tcPr>
          <w:p w14:paraId="4967177D">
            <w:pPr>
              <w:kinsoku w:val="0"/>
              <w:autoSpaceDE w:val="0"/>
              <w:autoSpaceDN w:val="0"/>
              <w:adjustRightInd w:val="0"/>
              <w:snapToGrid w:val="0"/>
              <w:spacing w:before="102" w:line="187" w:lineRule="auto"/>
              <w:jc w:val="center"/>
              <w:textAlignment w:val="baseline"/>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不合格</w:t>
            </w:r>
          </w:p>
        </w:tc>
        <w:tc>
          <w:tcPr>
            <w:tcW w:w="1179" w:type="pct"/>
            <w:gridSpan w:val="2"/>
            <w:vAlign w:val="top"/>
          </w:tcPr>
          <w:p w14:paraId="3B605662">
            <w:pPr>
              <w:kinsoku w:val="0"/>
              <w:autoSpaceDE w:val="0"/>
              <w:autoSpaceDN w:val="0"/>
              <w:adjustRightInd w:val="0"/>
              <w:snapToGrid w:val="0"/>
              <w:spacing w:before="68" w:line="228" w:lineRule="auto"/>
              <w:ind w:left="62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80～</w:t>
            </w:r>
            <w:r>
              <w:rPr>
                <w:rFonts w:hint="eastAsia" w:ascii="宋体" w:hAnsi="宋体" w:eastAsia="宋体" w:cs="宋体"/>
                <w:snapToGrid w:val="0"/>
                <w:color w:val="000000"/>
                <w:spacing w:val="3"/>
                <w:kern w:val="0"/>
                <w:sz w:val="20"/>
                <w:szCs w:val="20"/>
                <w:lang w:val="en-US" w:eastAsia="zh-CN" w:bidi="ar-SA"/>
              </w:rPr>
              <w:t>89</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3"/>
                <w:kern w:val="0"/>
                <w:sz w:val="20"/>
                <w:szCs w:val="20"/>
                <w:lang w:val="en-US" w:eastAsia="en-US" w:bidi="ar-SA"/>
              </w:rPr>
              <w:t>分</w:t>
            </w:r>
          </w:p>
        </w:tc>
        <w:tc>
          <w:tcPr>
            <w:tcW w:w="3196" w:type="pct"/>
            <w:gridSpan w:val="4"/>
            <w:vAlign w:val="top"/>
          </w:tcPr>
          <w:p w14:paraId="05FFA7FF">
            <w:pPr>
              <w:kinsoku w:val="0"/>
              <w:autoSpaceDE w:val="0"/>
              <w:autoSpaceDN w:val="0"/>
              <w:adjustRightInd w:val="0"/>
              <w:snapToGrid w:val="0"/>
              <w:spacing w:before="67" w:line="228" w:lineRule="auto"/>
              <w:jc w:val="center"/>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当季服务费按90%支付</w:t>
            </w:r>
          </w:p>
        </w:tc>
      </w:tr>
      <w:tr w14:paraId="479B4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23" w:type="pct"/>
            <w:vAlign w:val="center"/>
          </w:tcPr>
          <w:p w14:paraId="5C8F2E9A">
            <w:pPr>
              <w:kinsoku w:val="0"/>
              <w:autoSpaceDE w:val="0"/>
              <w:autoSpaceDN w:val="0"/>
              <w:adjustRightInd w:val="0"/>
              <w:snapToGrid w:val="0"/>
              <w:spacing w:before="100" w:line="189" w:lineRule="auto"/>
              <w:jc w:val="center"/>
              <w:textAlignment w:val="baseline"/>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不合格</w:t>
            </w:r>
          </w:p>
        </w:tc>
        <w:tc>
          <w:tcPr>
            <w:tcW w:w="1179" w:type="pct"/>
            <w:gridSpan w:val="2"/>
            <w:vAlign w:val="top"/>
          </w:tcPr>
          <w:p w14:paraId="64426C59">
            <w:pPr>
              <w:kinsoku w:val="0"/>
              <w:autoSpaceDE w:val="0"/>
              <w:autoSpaceDN w:val="0"/>
              <w:adjustRightInd w:val="0"/>
              <w:snapToGrid w:val="0"/>
              <w:spacing w:before="68" w:line="228" w:lineRule="auto"/>
              <w:ind w:left="625"/>
              <w:jc w:val="left"/>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w:t>
            </w:r>
            <w:r>
              <w:rPr>
                <w:rFonts w:ascii="宋体" w:hAnsi="宋体" w:eastAsia="宋体" w:cs="宋体"/>
                <w:snapToGrid w:val="0"/>
                <w:color w:val="000000"/>
                <w:spacing w:val="2"/>
                <w:kern w:val="0"/>
                <w:sz w:val="20"/>
                <w:szCs w:val="20"/>
                <w:lang w:val="en-US" w:eastAsia="en-US" w:bidi="ar-SA"/>
              </w:rPr>
              <w:t>79</w:t>
            </w:r>
            <w:r>
              <w:rPr>
                <w:rFonts w:ascii="宋体" w:hAnsi="宋体" w:eastAsia="宋体" w:cs="宋体"/>
                <w:snapToGrid w:val="0"/>
                <w:color w:val="000000"/>
                <w:spacing w:val="-34"/>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分</w:t>
            </w:r>
          </w:p>
        </w:tc>
        <w:tc>
          <w:tcPr>
            <w:tcW w:w="3196" w:type="pct"/>
            <w:gridSpan w:val="4"/>
            <w:vAlign w:val="top"/>
          </w:tcPr>
          <w:p w14:paraId="150797CE">
            <w:pPr>
              <w:kinsoku w:val="0"/>
              <w:autoSpaceDE w:val="0"/>
              <w:autoSpaceDN w:val="0"/>
              <w:adjustRightInd w:val="0"/>
              <w:snapToGrid w:val="0"/>
              <w:spacing w:before="67" w:line="228" w:lineRule="auto"/>
              <w:jc w:val="center"/>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当季服务费按85%支付</w:t>
            </w:r>
          </w:p>
        </w:tc>
      </w:tr>
      <w:tr w14:paraId="21D5E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5000" w:type="pct"/>
            <w:gridSpan w:val="7"/>
            <w:vAlign w:val="top"/>
          </w:tcPr>
          <w:p w14:paraId="56564031">
            <w:pPr>
              <w:kinsoku w:val="0"/>
              <w:autoSpaceDE w:val="0"/>
              <w:autoSpaceDN w:val="0"/>
              <w:adjustRightInd w:val="0"/>
              <w:snapToGrid w:val="0"/>
              <w:spacing w:before="68" w:line="228" w:lineRule="auto"/>
              <w:ind w:left="115"/>
              <w:jc w:val="left"/>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zh-CN" w:bidi="ar-SA"/>
              </w:rPr>
              <w:t>合同执行期间累计达三次或连续两次不合格，甲方有权单方终止合同并将本项目另行发包，相关费用及损失由乙方承担。如终止合同，乙方必须在收到终止合同通知书之日起一个月内无条件退场并配合做好交接工作。</w:t>
            </w:r>
          </w:p>
        </w:tc>
      </w:tr>
    </w:tbl>
    <w:p w14:paraId="3EF929C4">
      <w:pPr>
        <w:rPr>
          <w:rFonts w:hint="eastAsia" w:ascii="仿宋" w:hAnsi="仿宋" w:eastAsia="仿宋" w:cs="仿宋"/>
          <w:b/>
          <w:bCs/>
          <w:sz w:val="32"/>
          <w:szCs w:val="32"/>
          <w:lang w:val="en-US" w:eastAsia="zh-CN"/>
        </w:rPr>
      </w:pPr>
      <w:r>
        <w:rPr>
          <w:rFonts w:hint="eastAsia" w:ascii="宋体" w:hAnsi="宋体" w:eastAsia="宋体" w:cs="宋体"/>
          <w:snapToGrid w:val="0"/>
          <w:color w:val="000000"/>
          <w:spacing w:val="16"/>
          <w:kern w:val="0"/>
          <w:sz w:val="22"/>
          <w:szCs w:val="22"/>
          <w:lang w:val="en-US" w:eastAsia="zh-CN" w:bidi="ar-SA"/>
        </w:rPr>
        <w:t>填表人：                            填表日期：</w:t>
      </w:r>
      <w:r>
        <w:rPr>
          <w:rFonts w:hint="eastAsia" w:ascii="仿宋" w:hAnsi="仿宋" w:eastAsia="仿宋" w:cs="仿宋"/>
          <w:b/>
          <w:bCs/>
          <w:sz w:val="32"/>
          <w:szCs w:val="32"/>
          <w:lang w:val="en-US" w:eastAsia="zh-CN"/>
        </w:rPr>
        <w:t xml:space="preserve">          </w:t>
      </w:r>
    </w:p>
    <w:p w14:paraId="3D237932">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2124E62C">
      <w:pP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附件2：</w:t>
      </w:r>
    </w:p>
    <w:p w14:paraId="1C285115">
      <w:pPr>
        <w:widowControl w:val="0"/>
        <w:spacing w:line="360" w:lineRule="exact"/>
        <w:ind w:left="2891" w:hanging="3373" w:hangingChars="1200"/>
        <w:jc w:val="cente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宣传物料制作年度服务质量考核评分表</w:t>
      </w:r>
    </w:p>
    <w:p w14:paraId="77A396D7">
      <w:pPr>
        <w:widowControl w:val="0"/>
        <w:spacing w:line="360" w:lineRule="exact"/>
        <w:ind w:left="2891" w:hanging="3373" w:hangingChars="1200"/>
        <w:jc w:val="both"/>
        <w:rPr>
          <w:rFonts w:hint="eastAsia" w:ascii="仿宋_GB2312" w:hAnsi="仿宋_GB2312" w:eastAsia="仿宋_GB2312" w:cs="仿宋_GB2312"/>
          <w:b/>
          <w:bCs/>
          <w:color w:val="auto"/>
          <w:kern w:val="2"/>
          <w:sz w:val="28"/>
          <w:szCs w:val="28"/>
          <w:highlight w:val="none"/>
          <w:u w:val="none"/>
          <w:lang w:val="en-US" w:eastAsia="zh-CN" w:bidi="ar-SA"/>
        </w:rPr>
      </w:pPr>
      <w:r>
        <w:rPr>
          <w:rFonts w:hint="eastAsia" w:ascii="仿宋_GB2312" w:hAnsi="仿宋_GB2312" w:eastAsia="仿宋_GB2312" w:cs="仿宋_GB2312"/>
          <w:b/>
          <w:bCs/>
          <w:color w:val="auto"/>
          <w:kern w:val="2"/>
          <w:sz w:val="28"/>
          <w:szCs w:val="28"/>
          <w:highlight w:val="none"/>
          <w:vertAlign w:val="baseline"/>
          <w:lang w:val="en-US" w:eastAsia="zh-CN" w:bidi="ar-SA"/>
        </w:rPr>
        <w:t>评分人：</w:t>
      </w:r>
      <w:r>
        <w:rPr>
          <w:rFonts w:hint="eastAsia" w:ascii="仿宋_GB2312" w:hAnsi="仿宋_GB2312" w:eastAsia="仿宋_GB2312" w:cs="仿宋_GB2312"/>
          <w:b/>
          <w:bCs/>
          <w:color w:val="auto"/>
          <w:kern w:val="2"/>
          <w:sz w:val="28"/>
          <w:szCs w:val="28"/>
          <w:highlight w:val="none"/>
          <w:u w:val="single"/>
          <w:vertAlign w:val="baseline"/>
          <w:lang w:val="en-US" w:eastAsia="zh-CN" w:bidi="ar-SA"/>
        </w:rPr>
        <w:t xml:space="preserve">          </w:t>
      </w:r>
      <w:r>
        <w:rPr>
          <w:rFonts w:hint="eastAsia" w:ascii="仿宋_GB2312" w:hAnsi="仿宋_GB2312" w:eastAsia="仿宋_GB2312" w:cs="仿宋_GB2312"/>
          <w:b/>
          <w:bCs/>
          <w:color w:val="auto"/>
          <w:kern w:val="2"/>
          <w:sz w:val="28"/>
          <w:szCs w:val="28"/>
          <w:highlight w:val="none"/>
          <w:u w:val="none"/>
          <w:vertAlign w:val="baseline"/>
          <w:lang w:val="en-US" w:eastAsia="zh-CN" w:bidi="ar-SA"/>
        </w:rPr>
        <w:t xml:space="preserve">   所在科室：</w:t>
      </w:r>
      <w:r>
        <w:rPr>
          <w:rFonts w:hint="eastAsia" w:ascii="仿宋_GB2312" w:hAnsi="仿宋_GB2312" w:eastAsia="仿宋_GB2312" w:cs="仿宋_GB2312"/>
          <w:b/>
          <w:bCs/>
          <w:color w:val="auto"/>
          <w:kern w:val="2"/>
          <w:sz w:val="28"/>
          <w:szCs w:val="28"/>
          <w:highlight w:val="none"/>
          <w:u w:val="single"/>
          <w:vertAlign w:val="baseline"/>
          <w:lang w:val="en-US" w:eastAsia="zh-CN" w:bidi="ar-SA"/>
        </w:rPr>
        <w:t xml:space="preserve">          </w:t>
      </w:r>
      <w:r>
        <w:rPr>
          <w:rFonts w:hint="eastAsia" w:ascii="仿宋_GB2312" w:hAnsi="仿宋_GB2312" w:eastAsia="仿宋_GB2312" w:cs="仿宋_GB2312"/>
          <w:b/>
          <w:bCs/>
          <w:color w:val="auto"/>
          <w:kern w:val="2"/>
          <w:sz w:val="28"/>
          <w:szCs w:val="28"/>
          <w:highlight w:val="none"/>
          <w:u w:val="none"/>
          <w:vertAlign w:val="baseline"/>
          <w:lang w:val="en-US" w:eastAsia="zh-CN" w:bidi="ar-SA"/>
        </w:rPr>
        <w:t xml:space="preserve">   时间：</w:t>
      </w:r>
      <w:r>
        <w:rPr>
          <w:rFonts w:hint="eastAsia" w:ascii="仿宋_GB2312" w:hAnsi="仿宋_GB2312" w:eastAsia="仿宋_GB2312" w:cs="仿宋_GB2312"/>
          <w:b/>
          <w:bCs/>
          <w:color w:val="auto"/>
          <w:kern w:val="2"/>
          <w:sz w:val="28"/>
          <w:szCs w:val="28"/>
          <w:highlight w:val="none"/>
          <w:u w:val="single"/>
          <w:vertAlign w:val="baseline"/>
          <w:lang w:val="en-US" w:eastAsia="zh-CN" w:bidi="ar-SA"/>
        </w:rPr>
        <w:t xml:space="preserve">          </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5430"/>
        <w:gridCol w:w="1899"/>
      </w:tblGrid>
      <w:tr w14:paraId="772D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noWrap w:val="0"/>
            <w:vAlign w:val="top"/>
          </w:tcPr>
          <w:p w14:paraId="7FECB95C">
            <w:pPr>
              <w:spacing w:line="360" w:lineRule="exact"/>
              <w:jc w:val="center"/>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评分内容</w:t>
            </w:r>
          </w:p>
        </w:tc>
        <w:tc>
          <w:tcPr>
            <w:tcW w:w="3085" w:type="pct"/>
            <w:noWrap w:val="0"/>
            <w:vAlign w:val="top"/>
          </w:tcPr>
          <w:p w14:paraId="781FFD22">
            <w:pPr>
              <w:spacing w:line="360" w:lineRule="exact"/>
              <w:jc w:val="center"/>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评分标准</w:t>
            </w:r>
          </w:p>
        </w:tc>
        <w:tc>
          <w:tcPr>
            <w:tcW w:w="1079" w:type="pct"/>
            <w:noWrap w:val="0"/>
            <w:vAlign w:val="top"/>
          </w:tcPr>
          <w:p w14:paraId="30EB26F2">
            <w:pPr>
              <w:spacing w:line="360" w:lineRule="exact"/>
              <w:jc w:val="center"/>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评分</w:t>
            </w:r>
          </w:p>
        </w:tc>
      </w:tr>
      <w:tr w14:paraId="5330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noWrap w:val="0"/>
            <w:vAlign w:val="top"/>
          </w:tcPr>
          <w:p w14:paraId="723DDB08">
            <w:pPr>
              <w:spacing w:line="360" w:lineRule="exact"/>
              <w:jc w:val="center"/>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服务内容</w:t>
            </w:r>
          </w:p>
        </w:tc>
        <w:tc>
          <w:tcPr>
            <w:tcW w:w="3085" w:type="pct"/>
            <w:noWrap w:val="0"/>
            <w:vAlign w:val="top"/>
          </w:tcPr>
          <w:p w14:paraId="4955BD48">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rPr>
              <w:t>①</w:t>
            </w:r>
            <w:r>
              <w:rPr>
                <w:rFonts w:hint="eastAsia" w:ascii="仿宋_GB2312" w:hAnsi="仿宋_GB2312" w:eastAsia="仿宋_GB2312" w:cs="仿宋_GB2312"/>
                <w:color w:val="auto"/>
                <w:sz w:val="24"/>
                <w:szCs w:val="24"/>
                <w:highlight w:val="none"/>
                <w:vertAlign w:val="baseline"/>
                <w:lang w:val="en-US" w:eastAsia="zh-CN"/>
              </w:rPr>
              <w:t>提供的服务内容全面、准确，能否满足医院的实际需求（20分）</w:t>
            </w:r>
          </w:p>
          <w:p w14:paraId="2BF183C6">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rPr>
              <w:t>②</w:t>
            </w:r>
            <w:r>
              <w:rPr>
                <w:rFonts w:hint="eastAsia" w:ascii="仿宋_GB2312" w:hAnsi="仿宋_GB2312" w:eastAsia="仿宋_GB2312" w:cs="仿宋_GB2312"/>
                <w:color w:val="auto"/>
                <w:sz w:val="24"/>
                <w:szCs w:val="24"/>
                <w:highlight w:val="none"/>
                <w:vertAlign w:val="baseline"/>
                <w:lang w:val="en-US" w:eastAsia="zh-CN"/>
              </w:rPr>
              <w:t>服务方案的创新性和实用性（20分）</w:t>
            </w:r>
          </w:p>
          <w:p w14:paraId="225573E9">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rPr>
              <w:t>③</w:t>
            </w:r>
            <w:r>
              <w:rPr>
                <w:rFonts w:hint="eastAsia" w:ascii="仿宋_GB2312" w:hAnsi="仿宋_GB2312" w:eastAsia="仿宋_GB2312" w:cs="仿宋_GB2312"/>
                <w:color w:val="auto"/>
                <w:sz w:val="24"/>
                <w:szCs w:val="24"/>
                <w:highlight w:val="none"/>
                <w:vertAlign w:val="baseline"/>
                <w:lang w:val="en-US" w:eastAsia="zh-CN"/>
              </w:rPr>
              <w:t>能否根据医院需求提供定制化服务（20分）</w:t>
            </w:r>
          </w:p>
          <w:p w14:paraId="20E951C8">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④服务过程中是否积极沟通，及时反馈（20分）</w:t>
            </w:r>
          </w:p>
          <w:p w14:paraId="1D814C2E">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⑤服务内容的完整性和规范性（20分）</w:t>
            </w:r>
          </w:p>
        </w:tc>
        <w:tc>
          <w:tcPr>
            <w:tcW w:w="1079" w:type="pct"/>
            <w:noWrap w:val="0"/>
            <w:vAlign w:val="top"/>
          </w:tcPr>
          <w:p w14:paraId="386AE299">
            <w:pPr>
              <w:spacing w:line="360" w:lineRule="exact"/>
              <w:rPr>
                <w:rFonts w:hint="eastAsia" w:ascii="仿宋_GB2312" w:hAnsi="仿宋_GB2312" w:eastAsia="仿宋_GB2312" w:cs="仿宋_GB2312"/>
                <w:color w:val="auto"/>
                <w:sz w:val="24"/>
                <w:szCs w:val="24"/>
                <w:highlight w:val="none"/>
                <w:vertAlign w:val="baseline"/>
              </w:rPr>
            </w:pPr>
          </w:p>
        </w:tc>
      </w:tr>
      <w:tr w14:paraId="42DD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noWrap w:val="0"/>
            <w:vAlign w:val="top"/>
          </w:tcPr>
          <w:p w14:paraId="61BBC2A0">
            <w:pPr>
              <w:spacing w:line="360" w:lineRule="exact"/>
              <w:jc w:val="center"/>
              <w:rPr>
                <w:rFonts w:hint="eastAsia" w:ascii="仿宋_GB2312" w:hAnsi="仿宋_GB2312" w:eastAsia="仿宋_GB2312" w:cs="仿宋_GB2312"/>
                <w:b/>
                <w:bCs/>
                <w:color w:val="auto"/>
                <w:sz w:val="24"/>
                <w:szCs w:val="24"/>
                <w:highlight w:val="none"/>
                <w:vertAlign w:val="baseline"/>
              </w:rPr>
            </w:pPr>
            <w:r>
              <w:rPr>
                <w:rFonts w:hint="eastAsia" w:ascii="仿宋_GB2312" w:hAnsi="仿宋_GB2312" w:eastAsia="仿宋_GB2312" w:cs="仿宋_GB2312"/>
                <w:b/>
                <w:bCs/>
                <w:color w:val="auto"/>
                <w:sz w:val="24"/>
                <w:szCs w:val="24"/>
                <w:highlight w:val="none"/>
                <w:vertAlign w:val="baseline"/>
                <w:lang w:val="en-US" w:eastAsia="zh-CN"/>
              </w:rPr>
              <w:t>响应时间</w:t>
            </w:r>
          </w:p>
        </w:tc>
        <w:tc>
          <w:tcPr>
            <w:tcW w:w="3085" w:type="pct"/>
            <w:noWrap w:val="0"/>
            <w:vAlign w:val="top"/>
          </w:tcPr>
          <w:p w14:paraId="2B2C596A">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rPr>
              <w:t>①</w:t>
            </w:r>
            <w:r>
              <w:rPr>
                <w:rFonts w:hint="eastAsia" w:ascii="仿宋_GB2312" w:hAnsi="仿宋_GB2312" w:eastAsia="仿宋_GB2312" w:cs="仿宋_GB2312"/>
                <w:color w:val="auto"/>
                <w:sz w:val="24"/>
                <w:szCs w:val="24"/>
                <w:highlight w:val="none"/>
                <w:vertAlign w:val="baseline"/>
                <w:lang w:val="en-US" w:eastAsia="zh-CN"/>
              </w:rPr>
              <w:t>及时响应医院的请求和需求（20分）</w:t>
            </w:r>
          </w:p>
          <w:p w14:paraId="2EFB0C06">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rPr>
              <w:t>②</w:t>
            </w:r>
            <w:r>
              <w:rPr>
                <w:rFonts w:hint="eastAsia" w:ascii="仿宋_GB2312" w:hAnsi="仿宋_GB2312" w:eastAsia="仿宋_GB2312" w:cs="仿宋_GB2312"/>
                <w:color w:val="auto"/>
                <w:sz w:val="24"/>
                <w:szCs w:val="24"/>
                <w:highlight w:val="none"/>
                <w:vertAlign w:val="baseline"/>
                <w:lang w:val="en-US" w:eastAsia="zh-CN"/>
              </w:rPr>
              <w:t>在约定时间内完成服务任务的准确性（20分）</w:t>
            </w:r>
          </w:p>
          <w:p w14:paraId="06AED214">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rPr>
              <w:t>③</w:t>
            </w:r>
            <w:r>
              <w:rPr>
                <w:rFonts w:hint="eastAsia" w:ascii="仿宋_GB2312" w:hAnsi="仿宋_GB2312" w:eastAsia="仿宋_GB2312" w:cs="仿宋_GB2312"/>
                <w:color w:val="auto"/>
                <w:sz w:val="24"/>
                <w:szCs w:val="24"/>
                <w:highlight w:val="none"/>
                <w:vertAlign w:val="baseline"/>
                <w:lang w:val="en-US" w:eastAsia="zh-CN"/>
              </w:rPr>
              <w:t>对紧急情况或突发事件的快速处理能力（20分）</w:t>
            </w:r>
          </w:p>
          <w:p w14:paraId="7FAC0854">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④在服务过程中，及时告知进度和结果（20分）</w:t>
            </w:r>
          </w:p>
          <w:p w14:paraId="350DC9FD">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⑤响应时间的稳定性和可靠性（20分）</w:t>
            </w:r>
          </w:p>
        </w:tc>
        <w:tc>
          <w:tcPr>
            <w:tcW w:w="1079" w:type="pct"/>
            <w:noWrap w:val="0"/>
            <w:vAlign w:val="top"/>
          </w:tcPr>
          <w:p w14:paraId="203FC6B3">
            <w:pPr>
              <w:spacing w:line="360" w:lineRule="exact"/>
              <w:rPr>
                <w:rFonts w:hint="eastAsia" w:ascii="仿宋_GB2312" w:hAnsi="仿宋_GB2312" w:eastAsia="仿宋_GB2312" w:cs="仿宋_GB2312"/>
                <w:color w:val="auto"/>
                <w:sz w:val="24"/>
                <w:szCs w:val="24"/>
                <w:highlight w:val="none"/>
                <w:vertAlign w:val="baseline"/>
              </w:rPr>
            </w:pPr>
          </w:p>
        </w:tc>
      </w:tr>
      <w:tr w14:paraId="1BA6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noWrap w:val="0"/>
            <w:vAlign w:val="top"/>
          </w:tcPr>
          <w:p w14:paraId="5AA79BBF">
            <w:pPr>
              <w:spacing w:line="360" w:lineRule="exact"/>
              <w:jc w:val="center"/>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物料质量</w:t>
            </w:r>
          </w:p>
        </w:tc>
        <w:tc>
          <w:tcPr>
            <w:tcW w:w="3085" w:type="pct"/>
            <w:noWrap w:val="0"/>
            <w:vAlign w:val="top"/>
          </w:tcPr>
          <w:p w14:paraId="1F810BBB">
            <w:pPr>
              <w:spacing w:line="36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vertAlign w:val="baseline"/>
              </w:rPr>
              <w:t>①</w:t>
            </w:r>
            <w:r>
              <w:rPr>
                <w:rFonts w:hint="eastAsia" w:ascii="仿宋_GB2312" w:hAnsi="仿宋_GB2312" w:eastAsia="仿宋_GB2312" w:cs="仿宋_GB2312"/>
                <w:color w:val="auto"/>
                <w:sz w:val="24"/>
                <w:szCs w:val="24"/>
                <w:highlight w:val="none"/>
                <w:lang w:val="en-US" w:eastAsia="zh-CN"/>
              </w:rPr>
              <w:t>提供的物料符合医院的质量标准和要求（20分）</w:t>
            </w:r>
          </w:p>
          <w:p w14:paraId="0C7158B8">
            <w:pPr>
              <w:spacing w:line="36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vertAlign w:val="baseline"/>
              </w:rPr>
              <w:t>②</w:t>
            </w:r>
            <w:r>
              <w:rPr>
                <w:rFonts w:hint="eastAsia" w:ascii="仿宋_GB2312" w:hAnsi="仿宋_GB2312" w:eastAsia="仿宋_GB2312" w:cs="仿宋_GB2312"/>
                <w:color w:val="auto"/>
                <w:sz w:val="24"/>
                <w:szCs w:val="24"/>
                <w:highlight w:val="none"/>
                <w:lang w:val="en-US" w:eastAsia="zh-CN"/>
              </w:rPr>
              <w:t>物料的质量和耐用性（20分）</w:t>
            </w:r>
          </w:p>
          <w:p w14:paraId="4282A11E">
            <w:pPr>
              <w:spacing w:line="36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vertAlign w:val="baseline"/>
              </w:rPr>
              <w:t>③</w:t>
            </w:r>
            <w:r>
              <w:rPr>
                <w:rFonts w:hint="eastAsia" w:ascii="仿宋_GB2312" w:hAnsi="仿宋_GB2312" w:eastAsia="仿宋_GB2312" w:cs="仿宋_GB2312"/>
                <w:color w:val="auto"/>
                <w:sz w:val="24"/>
                <w:szCs w:val="24"/>
                <w:highlight w:val="none"/>
                <w:lang w:val="en-US" w:eastAsia="zh-CN"/>
              </w:rPr>
              <w:t>物料设计的专业性和美观性（20分）</w:t>
            </w:r>
          </w:p>
          <w:p w14:paraId="591BB6C5">
            <w:pPr>
              <w:spacing w:line="36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vertAlign w:val="baseline"/>
                <w:lang w:val="en-US" w:eastAsia="zh-CN"/>
              </w:rPr>
              <w:t>④</w:t>
            </w:r>
            <w:r>
              <w:rPr>
                <w:rFonts w:hint="eastAsia" w:ascii="仿宋_GB2312" w:hAnsi="仿宋_GB2312" w:eastAsia="仿宋_GB2312" w:cs="仿宋_GB2312"/>
                <w:color w:val="auto"/>
                <w:sz w:val="24"/>
                <w:szCs w:val="24"/>
                <w:highlight w:val="none"/>
                <w:lang w:val="en-US" w:eastAsia="zh-CN"/>
              </w:rPr>
              <w:t>物料制作过程中的质量控制和检验（20分）</w:t>
            </w:r>
          </w:p>
          <w:p w14:paraId="79ACA580">
            <w:pPr>
              <w:spacing w:line="36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vertAlign w:val="baseline"/>
                <w:lang w:val="en-US" w:eastAsia="zh-CN"/>
              </w:rPr>
              <w:t>⑤</w:t>
            </w:r>
            <w:r>
              <w:rPr>
                <w:rFonts w:hint="eastAsia" w:ascii="仿宋_GB2312" w:hAnsi="仿宋_GB2312" w:eastAsia="仿宋_GB2312" w:cs="仿宋_GB2312"/>
                <w:color w:val="auto"/>
                <w:sz w:val="24"/>
                <w:szCs w:val="24"/>
                <w:highlight w:val="none"/>
                <w:lang w:val="en-US" w:eastAsia="zh-CN"/>
              </w:rPr>
              <w:t>物料使用过程中的安全性和环保性（20分）</w:t>
            </w:r>
          </w:p>
        </w:tc>
        <w:tc>
          <w:tcPr>
            <w:tcW w:w="1079" w:type="pct"/>
            <w:noWrap w:val="0"/>
            <w:vAlign w:val="top"/>
          </w:tcPr>
          <w:p w14:paraId="1492CD1E">
            <w:pPr>
              <w:spacing w:line="360" w:lineRule="exact"/>
              <w:rPr>
                <w:rFonts w:hint="eastAsia" w:ascii="仿宋_GB2312" w:hAnsi="仿宋_GB2312" w:eastAsia="仿宋_GB2312" w:cs="仿宋_GB2312"/>
                <w:color w:val="auto"/>
                <w:sz w:val="24"/>
                <w:szCs w:val="24"/>
                <w:highlight w:val="none"/>
                <w:vertAlign w:val="baseline"/>
              </w:rPr>
            </w:pPr>
          </w:p>
        </w:tc>
      </w:tr>
      <w:tr w14:paraId="163D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noWrap w:val="0"/>
            <w:vAlign w:val="top"/>
          </w:tcPr>
          <w:p w14:paraId="44B0B2E8">
            <w:pPr>
              <w:spacing w:line="360" w:lineRule="exact"/>
              <w:jc w:val="center"/>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售后服务</w:t>
            </w:r>
          </w:p>
        </w:tc>
        <w:tc>
          <w:tcPr>
            <w:tcW w:w="3085" w:type="pct"/>
            <w:noWrap w:val="0"/>
            <w:vAlign w:val="top"/>
          </w:tcPr>
          <w:p w14:paraId="0E74C5CC">
            <w:pPr>
              <w:widowControl w:val="0"/>
              <w:spacing w:line="360" w:lineRule="exact"/>
              <w:jc w:val="left"/>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en-US" w:bidi="ar-SA"/>
              </w:rPr>
              <w:t>①</w:t>
            </w:r>
            <w:r>
              <w:rPr>
                <w:rFonts w:hint="eastAsia" w:ascii="仿宋_GB2312" w:hAnsi="仿宋_GB2312" w:eastAsia="仿宋_GB2312" w:cs="仿宋_GB2312"/>
                <w:color w:val="auto"/>
                <w:kern w:val="2"/>
                <w:sz w:val="24"/>
                <w:szCs w:val="24"/>
                <w:highlight w:val="none"/>
                <w:vertAlign w:val="baseline"/>
                <w:lang w:val="en-US" w:eastAsia="zh-CN" w:bidi="ar-SA"/>
              </w:rPr>
              <w:t>售后服务响应的及时和有效（20分）</w:t>
            </w:r>
          </w:p>
          <w:p w14:paraId="0CBFEEB9">
            <w:pPr>
              <w:widowControl w:val="0"/>
              <w:spacing w:line="360" w:lineRule="exact"/>
              <w:jc w:val="left"/>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en-US" w:bidi="ar-SA"/>
              </w:rPr>
              <w:t>②</w:t>
            </w:r>
            <w:r>
              <w:rPr>
                <w:rFonts w:hint="eastAsia" w:ascii="仿宋_GB2312" w:hAnsi="仿宋_GB2312" w:eastAsia="仿宋_GB2312" w:cs="仿宋_GB2312"/>
                <w:color w:val="auto"/>
                <w:kern w:val="2"/>
                <w:sz w:val="24"/>
                <w:szCs w:val="24"/>
                <w:highlight w:val="none"/>
                <w:vertAlign w:val="baseline"/>
                <w:lang w:val="en-US" w:eastAsia="zh-CN" w:bidi="ar-SA"/>
              </w:rPr>
              <w:t>售后服务解决问题的准确性和专业性（20分）</w:t>
            </w:r>
          </w:p>
          <w:p w14:paraId="6D33B1CD">
            <w:pPr>
              <w:widowControl w:val="0"/>
              <w:spacing w:line="360" w:lineRule="exact"/>
              <w:jc w:val="left"/>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en-US" w:bidi="ar-SA"/>
              </w:rPr>
              <w:t>③</w:t>
            </w:r>
            <w:r>
              <w:rPr>
                <w:rFonts w:hint="eastAsia" w:ascii="仿宋_GB2312" w:hAnsi="仿宋_GB2312" w:eastAsia="仿宋_GB2312" w:cs="仿宋_GB2312"/>
                <w:color w:val="auto"/>
                <w:kern w:val="2"/>
                <w:sz w:val="24"/>
                <w:szCs w:val="24"/>
                <w:highlight w:val="none"/>
                <w:vertAlign w:val="baseline"/>
                <w:lang w:val="en-US" w:eastAsia="zh-CN" w:bidi="ar-SA"/>
              </w:rPr>
              <w:t>售后服务人员的态度和沟通能力（20分）</w:t>
            </w:r>
          </w:p>
          <w:p w14:paraId="1F43231B">
            <w:pPr>
              <w:widowControl w:val="0"/>
              <w:spacing w:line="360" w:lineRule="exact"/>
              <w:jc w:val="left"/>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④售后服务流程的规范性和完善性（20分）</w:t>
            </w:r>
          </w:p>
          <w:p w14:paraId="6E1CD536">
            <w:pPr>
              <w:widowControl w:val="0"/>
              <w:spacing w:line="360" w:lineRule="exact"/>
              <w:jc w:val="left"/>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⑤售后服务的持续性和客户满意度（20分）</w:t>
            </w:r>
          </w:p>
        </w:tc>
        <w:tc>
          <w:tcPr>
            <w:tcW w:w="1079" w:type="pct"/>
            <w:noWrap w:val="0"/>
            <w:vAlign w:val="top"/>
          </w:tcPr>
          <w:p w14:paraId="33273B96">
            <w:pPr>
              <w:spacing w:line="360" w:lineRule="exact"/>
              <w:rPr>
                <w:rFonts w:hint="eastAsia" w:ascii="仿宋_GB2312" w:hAnsi="仿宋_GB2312" w:eastAsia="仿宋_GB2312" w:cs="仿宋_GB2312"/>
                <w:color w:val="auto"/>
                <w:sz w:val="24"/>
                <w:szCs w:val="24"/>
                <w:highlight w:val="none"/>
                <w:vertAlign w:val="baseline"/>
              </w:rPr>
            </w:pPr>
          </w:p>
        </w:tc>
      </w:tr>
      <w:tr w14:paraId="4B98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noWrap w:val="0"/>
            <w:vAlign w:val="top"/>
          </w:tcPr>
          <w:p w14:paraId="0A179676">
            <w:pPr>
              <w:spacing w:line="360" w:lineRule="exact"/>
              <w:jc w:val="center"/>
              <w:rPr>
                <w:rFonts w:hint="default"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价格考核</w:t>
            </w:r>
          </w:p>
        </w:tc>
        <w:tc>
          <w:tcPr>
            <w:tcW w:w="3085" w:type="pct"/>
            <w:noWrap w:val="0"/>
            <w:vAlign w:val="top"/>
          </w:tcPr>
          <w:p w14:paraId="616A48D0">
            <w:pPr>
              <w:widowControl w:val="0"/>
              <w:spacing w:line="360" w:lineRule="exact"/>
              <w:jc w:val="left"/>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color w:val="auto"/>
                <w:kern w:val="2"/>
                <w:sz w:val="24"/>
                <w:szCs w:val="24"/>
                <w:highlight w:val="none"/>
                <w:vertAlign w:val="baseline"/>
                <w:lang w:val="en-US" w:eastAsia="zh-CN" w:bidi="ar-SA"/>
              </w:rPr>
              <w:t>对不在常规物料清单的项目随机抽取进1项进行考核：</w:t>
            </w:r>
          </w:p>
          <w:p w14:paraId="7A7D0C3D">
            <w:pPr>
              <w:widowControl w:val="0"/>
              <w:spacing w:line="360" w:lineRule="exact"/>
              <w:jc w:val="left"/>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color w:val="auto"/>
                <w:kern w:val="2"/>
                <w:sz w:val="24"/>
                <w:szCs w:val="24"/>
                <w:highlight w:val="none"/>
                <w:vertAlign w:val="baseline"/>
                <w:lang w:val="en-US" w:eastAsia="zh-CN" w:bidi="ar-SA"/>
              </w:rPr>
              <w:t>①与市场平均价一致（100分）</w:t>
            </w:r>
          </w:p>
          <w:p w14:paraId="5A9F3363">
            <w:pPr>
              <w:widowControl w:val="0"/>
              <w:spacing w:line="360" w:lineRule="exact"/>
              <w:jc w:val="left"/>
              <w:rPr>
                <w:rFonts w:hint="eastAsia" w:ascii="仿宋_GB2312" w:hAnsi="仿宋_GB2312" w:eastAsia="仿宋_GB2312" w:cs="仿宋_GB2312"/>
                <w:b/>
                <w:bCs/>
                <w:color w:val="auto"/>
                <w:kern w:val="2"/>
                <w:sz w:val="24"/>
                <w:szCs w:val="24"/>
                <w:highlight w:val="none"/>
                <w:vertAlign w:val="baseline"/>
                <w:lang w:val="en-US" w:eastAsia="zh-CN" w:bidi="ar-SA"/>
              </w:rPr>
            </w:pPr>
            <w:r>
              <w:rPr>
                <w:rFonts w:hint="eastAsia" w:ascii="仿宋_GB2312" w:hAnsi="仿宋_GB2312" w:eastAsia="仿宋_GB2312" w:cs="仿宋_GB2312"/>
                <w:b/>
                <w:bCs/>
                <w:color w:val="auto"/>
                <w:kern w:val="2"/>
                <w:sz w:val="24"/>
                <w:szCs w:val="24"/>
                <w:highlight w:val="none"/>
                <w:vertAlign w:val="baseline"/>
                <w:lang w:val="en-US" w:eastAsia="zh-CN" w:bidi="ar-SA"/>
              </w:rPr>
              <w:t>②低于市场平均价，加20分</w:t>
            </w:r>
          </w:p>
          <w:p w14:paraId="55D62468">
            <w:pPr>
              <w:widowControl w:val="0"/>
              <w:spacing w:line="360" w:lineRule="exact"/>
              <w:jc w:val="left"/>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b/>
                <w:bCs/>
                <w:color w:val="auto"/>
                <w:kern w:val="2"/>
                <w:sz w:val="24"/>
                <w:szCs w:val="24"/>
                <w:highlight w:val="none"/>
                <w:vertAlign w:val="baseline"/>
                <w:lang w:val="en-US" w:eastAsia="zh-CN" w:bidi="ar-SA"/>
              </w:rPr>
              <w:t>③高于市场平均价，扣20分</w:t>
            </w:r>
          </w:p>
        </w:tc>
        <w:tc>
          <w:tcPr>
            <w:tcW w:w="1079" w:type="pct"/>
            <w:noWrap w:val="0"/>
            <w:vAlign w:val="top"/>
          </w:tcPr>
          <w:p w14:paraId="7C49AA08">
            <w:pPr>
              <w:spacing w:line="360" w:lineRule="exact"/>
              <w:rPr>
                <w:rFonts w:hint="eastAsia" w:ascii="仿宋_GB2312" w:hAnsi="仿宋_GB2312" w:eastAsia="仿宋_GB2312" w:cs="仿宋_GB2312"/>
                <w:color w:val="auto"/>
                <w:sz w:val="24"/>
                <w:szCs w:val="24"/>
                <w:highlight w:val="none"/>
                <w:vertAlign w:val="baseline"/>
              </w:rPr>
            </w:pPr>
          </w:p>
        </w:tc>
      </w:tr>
      <w:tr w14:paraId="367D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0" w:type="pct"/>
            <w:gridSpan w:val="2"/>
            <w:noWrap w:val="0"/>
            <w:vAlign w:val="top"/>
          </w:tcPr>
          <w:p w14:paraId="67AD2B9A">
            <w:pPr>
              <w:widowControl w:val="0"/>
              <w:spacing w:line="360" w:lineRule="exact"/>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b/>
                <w:bCs/>
                <w:color w:val="auto"/>
                <w:kern w:val="2"/>
                <w:sz w:val="24"/>
                <w:szCs w:val="24"/>
                <w:highlight w:val="none"/>
                <w:vertAlign w:val="baseline"/>
                <w:lang w:val="en-US" w:eastAsia="zh-CN" w:bidi="ar-SA"/>
              </w:rPr>
              <w:t>平均总得分</w:t>
            </w:r>
          </w:p>
        </w:tc>
        <w:tc>
          <w:tcPr>
            <w:tcW w:w="1079" w:type="pct"/>
            <w:noWrap w:val="0"/>
            <w:vAlign w:val="top"/>
          </w:tcPr>
          <w:p w14:paraId="442EEE3F">
            <w:pPr>
              <w:spacing w:line="360" w:lineRule="exact"/>
              <w:rPr>
                <w:rFonts w:hint="eastAsia" w:ascii="仿宋_GB2312" w:hAnsi="仿宋_GB2312" w:eastAsia="仿宋_GB2312" w:cs="仿宋_GB2312"/>
                <w:color w:val="auto"/>
                <w:sz w:val="24"/>
                <w:szCs w:val="24"/>
                <w:highlight w:val="none"/>
                <w:vertAlign w:val="baseline"/>
              </w:rPr>
            </w:pPr>
          </w:p>
        </w:tc>
      </w:tr>
    </w:tbl>
    <w:p w14:paraId="49F164E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0" w:afterAutospacing="0" w:line="360" w:lineRule="exact"/>
        <w:ind w:left="0" w:right="0" w:firstLine="0"/>
        <w:jc w:val="left"/>
        <w:rPr>
          <w:rFonts w:hint="eastAsia" w:ascii="仿宋_GB2312" w:hAnsi="仿宋_GB2312" w:eastAsia="仿宋_GB2312" w:cs="仿宋_GB2312"/>
          <w:i w:val="0"/>
          <w:iCs w:val="0"/>
          <w:caps w:val="0"/>
          <w:color w:val="auto"/>
          <w:spacing w:val="0"/>
          <w:kern w:val="0"/>
          <w:sz w:val="24"/>
          <w:szCs w:val="24"/>
          <w:highlight w:val="none"/>
          <w:lang w:val="en-US" w:eastAsia="zh-CN" w:bidi="ar"/>
        </w:rPr>
      </w:pPr>
      <w:r>
        <w:rPr>
          <w:rFonts w:hint="eastAsia" w:ascii="仿宋_GB2312" w:hAnsi="仿宋_GB2312" w:eastAsia="仿宋_GB2312" w:cs="仿宋_GB2312"/>
          <w:b/>
          <w:bCs/>
          <w:i w:val="0"/>
          <w:iCs w:val="0"/>
          <w:caps w:val="0"/>
          <w:color w:val="auto"/>
          <w:spacing w:val="0"/>
          <w:kern w:val="2"/>
          <w:sz w:val="24"/>
          <w:szCs w:val="24"/>
          <w:highlight w:val="none"/>
          <w:shd w:val="clear" w:color="auto" w:fill="FDFDFE"/>
          <w:lang w:val="en-US" w:eastAsia="zh-CN" w:bidi="ar-SA"/>
        </w:rPr>
        <w:t>年度服务质量评分标准说明</w:t>
      </w:r>
    </w:p>
    <w:p w14:paraId="55BA3CDB">
      <w:pPr>
        <w:spacing w:line="36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val="en-US" w:eastAsia="zh-CN"/>
        </w:rPr>
        <w:t>年度服务质量评分表由办公室牵头组织4个临床/职能科室进行打分。总分平均分</w:t>
      </w:r>
      <w:r>
        <w:rPr>
          <w:rFonts w:hint="eastAsia" w:ascii="仿宋_GB2312" w:hAnsi="仿宋_GB2312" w:eastAsia="仿宋_GB2312" w:cs="仿宋_GB2312"/>
          <w:color w:val="auto"/>
          <w:sz w:val="24"/>
          <w:szCs w:val="24"/>
          <w:highlight w:val="none"/>
          <w:lang w:val="en-US" w:eastAsia="zh-CN"/>
        </w:rPr>
        <w:t>≥85分以上为及格，可续签第二年合同。</w:t>
      </w:r>
    </w:p>
    <w:p w14:paraId="34980FF8">
      <w:pPr>
        <w:spacing w:line="3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每个评分项中的评分标准都对应具体的分数，以便评委进行公正、客观的评分。</w:t>
      </w:r>
    </w:p>
    <w:p w14:paraId="6F4ACAB7">
      <w:pPr>
        <w:spacing w:line="3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评委在评分时，应根据实际情况，结合评分标准，给出合理的分数。</w:t>
      </w:r>
    </w:p>
    <w:p w14:paraId="3EF0B2D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14:paraId="6B7F75BD">
      <w:pP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附件3：</w:t>
      </w:r>
    </w:p>
    <w:p w14:paraId="69CB3F99">
      <w:pPr>
        <w:widowControl/>
        <w:spacing w:line="360" w:lineRule="auto"/>
        <w:ind w:firstLine="3036" w:firstLineChars="945"/>
        <w:textAlignment w:val="baseline"/>
        <w:rPr>
          <w:rFonts w:ascii="宋体" w:hAnsi="宋体" w:eastAsia="宋体" w:cs="Times New Roman"/>
          <w:b/>
          <w:sz w:val="32"/>
          <w:szCs w:val="32"/>
        </w:rPr>
      </w:pPr>
      <w:r>
        <w:rPr>
          <w:rFonts w:hint="eastAsia" w:ascii="宋体" w:hAnsi="宋体" w:eastAsia="宋体" w:cs="Times New Roman"/>
          <w:b/>
          <w:sz w:val="32"/>
          <w:szCs w:val="32"/>
        </w:rPr>
        <w:t>保</w:t>
      </w:r>
      <w:r>
        <w:rPr>
          <w:rFonts w:ascii="宋体" w:hAnsi="宋体" w:eastAsia="宋体" w:cs="Times New Roman"/>
          <w:b/>
          <w:sz w:val="32"/>
          <w:szCs w:val="32"/>
        </w:rPr>
        <w:t xml:space="preserve"> </w:t>
      </w:r>
      <w:r>
        <w:rPr>
          <w:rFonts w:hint="eastAsia" w:ascii="宋体" w:hAnsi="宋体" w:eastAsia="宋体" w:cs="Times New Roman"/>
          <w:b/>
          <w:sz w:val="32"/>
          <w:szCs w:val="32"/>
        </w:rPr>
        <w:t>密</w:t>
      </w:r>
      <w:r>
        <w:rPr>
          <w:rFonts w:ascii="宋体" w:hAnsi="宋体" w:eastAsia="宋体" w:cs="Times New Roman"/>
          <w:b/>
          <w:sz w:val="32"/>
          <w:szCs w:val="32"/>
        </w:rPr>
        <w:t xml:space="preserve"> </w:t>
      </w:r>
      <w:r>
        <w:rPr>
          <w:rFonts w:hint="eastAsia" w:ascii="宋体" w:hAnsi="宋体" w:eastAsia="宋体" w:cs="Times New Roman"/>
          <w:b/>
          <w:sz w:val="32"/>
          <w:szCs w:val="32"/>
        </w:rPr>
        <w:t>协</w:t>
      </w:r>
      <w:r>
        <w:rPr>
          <w:rFonts w:ascii="宋体" w:hAnsi="宋体" w:eastAsia="宋体" w:cs="Times New Roman"/>
          <w:b/>
          <w:sz w:val="32"/>
          <w:szCs w:val="32"/>
        </w:rPr>
        <w:t xml:space="preserve"> </w:t>
      </w:r>
      <w:r>
        <w:rPr>
          <w:rFonts w:hint="eastAsia" w:ascii="宋体" w:hAnsi="宋体" w:eastAsia="宋体" w:cs="Times New Roman"/>
          <w:b/>
          <w:sz w:val="32"/>
          <w:szCs w:val="32"/>
        </w:rPr>
        <w:t>议</w:t>
      </w:r>
    </w:p>
    <w:p w14:paraId="3A1E369D">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甲方：广东省工人医院</w:t>
      </w:r>
    </w:p>
    <w:p w14:paraId="49975206">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乙方：</w:t>
      </w:r>
    </w:p>
    <w:p w14:paraId="7CFB03D4">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根据《中华人民共和国民法典》等相关法律法规及       项目（以下简称“项目”），为保障甲乙双方的合法权益，明确双方在</w:t>
      </w:r>
      <w:r>
        <w:rPr>
          <w:rFonts w:hint="eastAsia" w:ascii="Calibri" w:hAnsi="Calibri" w:eastAsia="宋体" w:cs="Times New Roman"/>
          <w:sz w:val="22"/>
          <w:szCs w:val="24"/>
          <w:lang w:val="en-US" w:eastAsia="zh-CN" w:bidi="ar-SA"/>
        </w:rPr>
        <w:t>项目</w:t>
      </w:r>
      <w:r>
        <w:rPr>
          <w:rFonts w:hint="eastAsia" w:ascii="Calibri" w:hAnsi="Calibri" w:eastAsia="宋体" w:cs="Times New Roman"/>
          <w:sz w:val="22"/>
          <w:szCs w:val="24"/>
          <w:lang w:val="en-US" w:eastAsia="zh-Hans" w:bidi="ar-SA"/>
        </w:rPr>
        <w:t>过程中的保密义务，经双方友好协商，特订立本保密协议如下：</w:t>
      </w:r>
    </w:p>
    <w:p w14:paraId="702FEB54">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一、保密范围</w:t>
      </w:r>
    </w:p>
    <w:p w14:paraId="32895CD6">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1、甲方提供的所有涉及商业秘密、技术秘密、经营秘密、患者个人信息等所有信息；</w:t>
      </w:r>
    </w:p>
    <w:p w14:paraId="77B287C4">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2、乙方在提供</w:t>
      </w:r>
      <w:r>
        <w:rPr>
          <w:rFonts w:hint="eastAsia" w:ascii="Calibri" w:hAnsi="Calibri" w:eastAsia="宋体" w:cs="Times New Roman"/>
          <w:sz w:val="22"/>
          <w:szCs w:val="24"/>
          <w:lang w:val="en-US" w:eastAsia="zh-CN" w:bidi="ar-SA"/>
        </w:rPr>
        <w:t>项目</w:t>
      </w:r>
      <w:r>
        <w:rPr>
          <w:rFonts w:hint="eastAsia" w:ascii="Calibri" w:hAnsi="Calibri" w:eastAsia="宋体" w:cs="Times New Roman"/>
          <w:sz w:val="22"/>
          <w:szCs w:val="24"/>
          <w:lang w:val="en-US" w:eastAsia="zh-Hans" w:bidi="ar-SA"/>
        </w:rPr>
        <w:t>过程中所知悉的甲方内部事务、财务状况、发展规划、合作供应商等涉及商业秘密的信息；</w:t>
      </w:r>
    </w:p>
    <w:p w14:paraId="6F68452F">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3、双方在协议履行过程中产生的其他涉及保密的信息。</w:t>
      </w:r>
    </w:p>
    <w:p w14:paraId="46A1ECA2">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上述保密信息可以以数据、文字及记载上述内容的资料、光盘、软件、图书等有形媒介体现，也可通过口头等视听形式传递。</w:t>
      </w:r>
    </w:p>
    <w:p w14:paraId="3571CF35">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二、保密义务</w:t>
      </w:r>
    </w:p>
    <w:p w14:paraId="36F55C65">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1、乙方应严格保守甲方的商业秘密，未经甲方同意，不得向任何第三方泄露或使用；</w:t>
      </w:r>
    </w:p>
    <w:p w14:paraId="39EE9806">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2、乙方应采取合理的保密措施，确保保密信息的保密性；</w:t>
      </w:r>
    </w:p>
    <w:p w14:paraId="75E0EF5E">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3、乙方在提供</w:t>
      </w:r>
      <w:r>
        <w:rPr>
          <w:rFonts w:hint="eastAsia" w:ascii="Calibri" w:hAnsi="Calibri" w:eastAsia="宋体" w:cs="Times New Roman"/>
          <w:sz w:val="22"/>
          <w:szCs w:val="24"/>
          <w:lang w:val="en-US" w:eastAsia="zh-CN" w:bidi="ar-SA"/>
        </w:rPr>
        <w:t>项目</w:t>
      </w:r>
      <w:r>
        <w:rPr>
          <w:rFonts w:hint="eastAsia" w:ascii="Calibri" w:hAnsi="Calibri" w:eastAsia="宋体" w:cs="Times New Roman"/>
          <w:sz w:val="22"/>
          <w:szCs w:val="24"/>
          <w:lang w:val="en-US" w:eastAsia="zh-Hans" w:bidi="ar-SA"/>
        </w:rPr>
        <w:t>服务过程中，不得利用甲方的商业秘密为自己或第三方谋取利益；</w:t>
      </w:r>
    </w:p>
    <w:p w14:paraId="573937A9">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4、乙方在协议终止或解除后，仍应继续履行保密义务。</w:t>
      </w:r>
    </w:p>
    <w:p w14:paraId="5C0FC452">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5、</w:t>
      </w:r>
      <w:r>
        <w:rPr>
          <w:rFonts w:hint="eastAsia" w:ascii="Calibri" w:hAnsi="Calibri" w:eastAsia="宋体" w:cs="Times New Roman"/>
          <w:sz w:val="22"/>
          <w:szCs w:val="24"/>
          <w:lang w:val="en-US" w:eastAsia="zh-Hans" w:bidi="ar-SA"/>
        </w:rPr>
        <w:t>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14:paraId="1A83CB87">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6</w:t>
      </w:r>
      <w:r>
        <w:rPr>
          <w:rFonts w:hint="eastAsia" w:ascii="Calibri" w:hAnsi="Calibri" w:eastAsia="宋体" w:cs="Times New Roman"/>
          <w:sz w:val="22"/>
          <w:szCs w:val="24"/>
          <w:lang w:val="en-US" w:eastAsia="zh-Hans" w:bidi="ar-SA"/>
        </w:rPr>
        <w:t>、如果接收方被要求向政府部门、法院或其他有权部门提供保密信息，接收方在可能的情况下，应立即向提供方予以通报，以便提供方能以保密为抗辩理由或取得保护措施，并且应用尽适用法的所有程序来保护该保密信息</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由此所花费的合理费用由提供方承担。</w:t>
      </w:r>
    </w:p>
    <w:p w14:paraId="5BEE2DBB">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7、</w:t>
      </w:r>
      <w:r>
        <w:rPr>
          <w:rFonts w:hint="eastAsia" w:ascii="Calibri" w:hAnsi="Calibri" w:eastAsia="宋体" w:cs="Times New Roman"/>
          <w:sz w:val="22"/>
          <w:szCs w:val="24"/>
          <w:lang w:val="en-US" w:eastAsia="zh-Hans" w:bidi="ar-SA"/>
        </w:rPr>
        <w:t>非权利授予条款</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14:paraId="1E338C66">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8</w:t>
      </w:r>
      <w:r>
        <w:rPr>
          <w:rFonts w:hint="eastAsia" w:ascii="Calibri" w:hAnsi="Calibri" w:eastAsia="宋体" w:cs="Times New Roman"/>
          <w:sz w:val="22"/>
          <w:szCs w:val="24"/>
          <w:lang w:val="en-US" w:eastAsia="zh-Hans" w:bidi="ar-SA"/>
        </w:rPr>
        <w:t>、在每一单独订立合同的项目终止之后，协议所涉及的由提供方送交给接收方的一切保密信息，无论是书面的还是其他具体形式，以及接收方所作的复印件均需立即交还提供方，或者予以销毁，且有关销毁凭证应同时送交给对方</w:t>
      </w:r>
    </w:p>
    <w:p w14:paraId="5503C7E6">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9</w:t>
      </w:r>
      <w:r>
        <w:rPr>
          <w:rFonts w:hint="eastAsia" w:ascii="Calibri" w:hAnsi="Calibri" w:eastAsia="宋体" w:cs="Times New Roman"/>
          <w:sz w:val="22"/>
          <w:szCs w:val="24"/>
          <w:lang w:val="en-US" w:eastAsia="zh-Hans" w:bidi="ar-SA"/>
        </w:rPr>
        <w:t>、任何一方不得将本协议项下的权利和义务转让给第三方，但获得对方书面同意的除外。</w:t>
      </w:r>
    </w:p>
    <w:p w14:paraId="39B414D9">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三、保密期限</w:t>
      </w:r>
    </w:p>
    <w:p w14:paraId="4214ED40">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保密义务不因合同履行完毕或者终止而终止。乙方承担保密义务的期限自甲、乙双方签订本合同时起至甲方向社会公众披露该信息时止，在此期间无论甲、乙双方合同关系是否存在，乙方都应无条件地保守甲方的商业秘密。</w:t>
      </w:r>
    </w:p>
    <w:p w14:paraId="78A748B2">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四、违约责任</w:t>
      </w:r>
    </w:p>
    <w:p w14:paraId="79A02B85">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1、任何一方违反本协议的规定，应在第一时间采取一切必要措施防止保密信息的扩散，尽最大可能消除影响，并应承担违约责任，向守约方支付违约金，违约金的具体数额为双方合作项目金额的30%。</w:t>
      </w:r>
    </w:p>
    <w:p w14:paraId="47AE5DAA">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、如违约方因泄露保密信息导致甲方遭受严重损失的，违约方应承担相应的法律责任。</w:t>
      </w:r>
    </w:p>
    <w:p w14:paraId="368CF935">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3、上述违约金数额并不影响受损害方向违约方要求损害赔偿。该等赔偿以受损害方实际遭受的损失为限。</w:t>
      </w:r>
    </w:p>
    <w:p w14:paraId="04586CAC">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五、争议解决</w:t>
      </w:r>
    </w:p>
    <w:p w14:paraId="068B8B80">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双方在履行本协议过程中发生的争议，应首先通过友好协商解决；协商不成的，</w:t>
      </w:r>
      <w:r>
        <w:rPr>
          <w:rFonts w:hint="eastAsia" w:ascii="Calibri" w:hAnsi="Calibri" w:eastAsia="宋体" w:cs="Times New Roman"/>
          <w:sz w:val="22"/>
          <w:szCs w:val="24"/>
          <w:lang w:val="en-US" w:eastAsia="zh-CN" w:bidi="ar-SA"/>
        </w:rPr>
        <w:t>任何一方</w:t>
      </w:r>
      <w:r>
        <w:rPr>
          <w:rFonts w:hint="eastAsia" w:ascii="Calibri" w:hAnsi="Calibri" w:eastAsia="宋体" w:cs="Times New Roman"/>
          <w:sz w:val="22"/>
          <w:szCs w:val="24"/>
          <w:lang w:val="en-US" w:eastAsia="zh-Hans" w:bidi="ar-SA"/>
        </w:rPr>
        <w:t>均可向甲方所在地人民法院提起诉讼。</w:t>
      </w:r>
    </w:p>
    <w:p w14:paraId="32B5A6CC">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六、其他</w:t>
      </w:r>
    </w:p>
    <w:p w14:paraId="60294FF1">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Hans" w:bidi="ar-SA"/>
        </w:rPr>
        <w:t>本协议一式陆份，双方签字、盖章生效后，具有同等法律效力，甲方执肆份，乙方执贰份</w:t>
      </w:r>
      <w:r>
        <w:rPr>
          <w:rFonts w:hint="eastAsia" w:ascii="Calibri" w:hAnsi="Calibri" w:eastAsia="宋体" w:cs="Times New Roman"/>
          <w:sz w:val="22"/>
          <w:szCs w:val="24"/>
          <w:lang w:val="en-US" w:eastAsia="zh-CN" w:bidi="ar-SA"/>
        </w:rPr>
        <w:t>。</w:t>
      </w:r>
    </w:p>
    <w:p w14:paraId="75EC3A27">
      <w:pPr>
        <w:ind w:firstLine="480"/>
        <w:jc w:val="both"/>
        <w:rPr>
          <w:rFonts w:hint="eastAsia" w:ascii="Calibri" w:hAnsi="Calibri" w:eastAsia="宋体" w:cs="Times New Roman"/>
          <w:sz w:val="22"/>
          <w:szCs w:val="24"/>
          <w:lang w:val="en-US" w:eastAsia="zh-CN" w:bidi="ar-SA"/>
        </w:rPr>
      </w:pPr>
    </w:p>
    <w:p w14:paraId="26D1B150">
      <w:pPr>
        <w:ind w:firstLine="480"/>
        <w:jc w:val="both"/>
        <w:rPr>
          <w:rFonts w:hint="default"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Hans" w:bidi="ar-SA"/>
        </w:rPr>
        <w:t>甲方（盖章）：</w:t>
      </w:r>
      <w:r>
        <w:rPr>
          <w:rFonts w:hint="eastAsia" w:ascii="Calibri" w:hAnsi="Calibri" w:eastAsia="宋体" w:cs="Times New Roman"/>
          <w:sz w:val="22"/>
          <w:szCs w:val="24"/>
          <w:lang w:val="en-US" w:eastAsia="zh-CN" w:bidi="ar-SA"/>
        </w:rPr>
        <w:t xml:space="preserve">广东省工人医院             </w:t>
      </w:r>
      <w:r>
        <w:rPr>
          <w:rFonts w:hint="eastAsia" w:ascii="Calibri" w:hAnsi="Calibri" w:eastAsia="宋体" w:cs="Times New Roman"/>
          <w:sz w:val="22"/>
          <w:szCs w:val="24"/>
          <w:lang w:val="en-US" w:eastAsia="zh-Hans" w:bidi="ar-SA"/>
        </w:rPr>
        <w:t>乙方（盖章）：</w:t>
      </w:r>
    </w:p>
    <w:p w14:paraId="767694D7">
      <w:pPr>
        <w:ind w:firstLine="480"/>
        <w:jc w:val="both"/>
        <w:rPr>
          <w:rFonts w:hint="eastAsia" w:ascii="Calibri" w:hAnsi="Calibri" w:eastAsia="宋体" w:cs="Times New Roman"/>
          <w:sz w:val="22"/>
          <w:szCs w:val="24"/>
          <w:lang w:val="en-US" w:eastAsia="zh-CN" w:bidi="ar-SA"/>
        </w:rPr>
      </w:pPr>
      <w:r>
        <w:rPr>
          <w:rFonts w:hint="eastAsia" w:ascii="Calibri" w:hAnsi="Calibri" w:eastAsia="宋体" w:cs="Times New Roman"/>
          <w:sz w:val="22"/>
          <w:szCs w:val="24"/>
          <w:lang w:val="en-US" w:eastAsia="zh-CN" w:bidi="ar-SA"/>
        </w:rPr>
        <w:t>法定代表人：</w:t>
      </w:r>
      <w:r>
        <w:rPr>
          <w:rFonts w:hint="eastAsia" w:ascii="Calibri" w:hAnsi="Calibri" w:eastAsia="宋体" w:cs="Times New Roman"/>
          <w:sz w:val="22"/>
          <w:szCs w:val="24"/>
          <w:lang w:val="en-US" w:eastAsia="zh-Hans" w:bidi="ar-SA"/>
        </w:rPr>
        <w:t xml:space="preserve">                       </w:t>
      </w:r>
      <w:r>
        <w:rPr>
          <w:rFonts w:hint="eastAsia" w:ascii="Calibri" w:hAnsi="Calibri" w:eastAsia="宋体" w:cs="Times New Roman"/>
          <w:sz w:val="22"/>
          <w:szCs w:val="24"/>
          <w:lang w:val="en-US" w:eastAsia="zh-CN" w:bidi="ar-SA"/>
        </w:rPr>
        <w:t xml:space="preserve">     法定代表人：</w:t>
      </w:r>
    </w:p>
    <w:p w14:paraId="59E5A212">
      <w:pPr>
        <w:ind w:firstLine="480"/>
        <w:jc w:val="both"/>
        <w:rPr>
          <w:rFonts w:hint="eastAsia" w:ascii="Calibri" w:hAnsi="Calibri" w:eastAsia="宋体" w:cs="Times New Roman"/>
          <w:sz w:val="22"/>
          <w:szCs w:val="24"/>
          <w:lang w:val="en-US" w:eastAsia="zh-CN" w:bidi="ar-SA"/>
        </w:rPr>
      </w:pPr>
    </w:p>
    <w:p w14:paraId="3C7470AC">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Hans" w:bidi="ar-SA"/>
        </w:rPr>
        <w:t>签约日期：</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年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月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日</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签约日期：</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年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 xml:space="preserve">月   </w:t>
      </w:r>
      <w:r>
        <w:rPr>
          <w:rFonts w:hint="eastAsia" w:ascii="Calibri" w:hAnsi="Calibri" w:eastAsia="宋体" w:cs="Times New Roman"/>
          <w:sz w:val="22"/>
          <w:szCs w:val="24"/>
          <w:lang w:val="en-US" w:eastAsia="zh-CN" w:bidi="ar-SA"/>
        </w:rPr>
        <w:t xml:space="preserve"> </w:t>
      </w:r>
      <w:r>
        <w:rPr>
          <w:rFonts w:hint="eastAsia" w:ascii="Calibri" w:hAnsi="Calibri" w:eastAsia="宋体" w:cs="Times New Roman"/>
          <w:sz w:val="22"/>
          <w:szCs w:val="24"/>
          <w:lang w:val="en-US" w:eastAsia="zh-Hans" w:bidi="ar-SA"/>
        </w:rPr>
        <w:t>日</w:t>
      </w:r>
    </w:p>
    <w:p w14:paraId="42EAAFCA">
      <w:pPr>
        <w:ind w:firstLine="480"/>
        <w:jc w:val="both"/>
        <w:rPr>
          <w:rFonts w:hint="eastAsia" w:ascii="Calibri" w:hAnsi="Calibri" w:eastAsia="宋体" w:cs="Times New Roman"/>
          <w:sz w:val="22"/>
          <w:szCs w:val="24"/>
          <w:lang w:val="en-US" w:eastAsia="zh-CN" w:bidi="ar-SA"/>
        </w:rPr>
      </w:pPr>
    </w:p>
    <w:sectPr>
      <w:pgSz w:w="11906" w:h="16838"/>
      <w:pgMar w:top="1417" w:right="1661" w:bottom="1417" w:left="1661" w:header="0" w:footer="595"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3E79D"/>
    <w:multiLevelType w:val="singleLevel"/>
    <w:tmpl w:val="FD53E79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91370"/>
    <w:rsid w:val="40581C4D"/>
    <w:rsid w:val="6DFB5116"/>
    <w:rsid w:val="6E63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5365</Words>
  <Characters>5530</Characters>
  <Lines>0</Lines>
  <Paragraphs>0</Paragraphs>
  <TotalTime>1</TotalTime>
  <ScaleCrop>false</ScaleCrop>
  <LinksUpToDate>false</LinksUpToDate>
  <CharactersWithSpaces>5882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2025-03-27T03:02:00Z</dcterms:created>
  <dc:creator>工作电脑</dc:creator>
  <cp:lastModifiedBy>小謝羊羊</cp:lastModifiedBy>
  <dcterms:modified xsi:type="dcterms:W3CDTF">2025-03-31T07:45:01Z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eyJoZGlkIjoiMzgzYmE4Y2UyYjU4MmM0OGZlYjUyMGIwZjI5YTc3NDkiLCJ1c2VySWQiOiI0MTA1MjkzNTAifQ==</vt:lpwstr>
  </property>
  <property fmtid="{D5CDD505-2E9C-101B-9397-08002B2CF9AE}" pid="4" name="ICV">
    <vt:lpwstr>6F52C3A847BF4F06BB06D3F04055C720_12</vt:lpwstr>
  </property>
</Properties>
</file>