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CED92">
      <w:pPr>
        <w:pStyle w:val="5"/>
      </w:pPr>
      <mc:AlternateContent>
        <mc:Choice Requires="wpsCustomData">
          <wpsCustomData:docfieldStart id="0" docfieldname="标题_2" hidden="0" print="1" readonly="0" index="2"/>
        </mc:Choice>
      </mc:AlternateContent>
      <w:r>
        <w:t>广东省工人疗养院专用存款账户</w:t>
      </w:r>
    </w:p>
    <w:p w14:paraId="094BA40E">
      <w:pPr>
        <w:pStyle w:val="5"/>
      </w:pPr>
      <w:r>
        <w:t>服务需求书</w:t>
      </w:r>
      <mc:AlternateContent>
        <mc:Choice Requires="wpsCustomData">
          <wpsCustomData:docfieldEnd id="0"/>
        </mc:Choice>
      </mc:AlternateContent>
    </w:p>
    <w:p w14:paraId="2D787A3E">
      <w:pPr>
        <w:pStyle w:val="4"/>
        <w:bidi w:val="0"/>
        <w:spacing w:beforeAutospacing="0" w:afterAutospacing="0" w:line="300" w:lineRule="exact"/>
      </w:pPr>
    </w:p>
    <w:p w14:paraId="5D05EF1C">
      <w:pPr>
        <w:pStyle w:val="2"/>
      </w:pPr>
      <w:r>
        <w:t>一、项目背景</w:t>
      </w:r>
    </w:p>
    <w:p w14:paraId="4FCDE819">
      <w:pPr>
        <w:rPr>
          <w:rFonts w:hint="eastAsia"/>
        </w:rPr>
      </w:pPr>
    </w:p>
    <w:p w14:paraId="11319D76">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为保障我院资金安全、规范拨付和动态监管，拟选择一家信誉良好、服务优质的银行开立专用存款账户。中标银行需严格按照国家法律法规及我院要求，提供高效、安全、便捷的金融服务。</w:t>
      </w:r>
    </w:p>
    <w:p w14:paraId="1F100C00">
      <w:pPr>
        <w:rPr>
          <w:rFonts w:hint="eastAsia"/>
        </w:rPr>
      </w:pPr>
    </w:p>
    <w:p w14:paraId="117ED7BE">
      <w:pPr>
        <w:pStyle w:val="2"/>
      </w:pPr>
      <w:r>
        <w:t>二、供应商要求</w:t>
      </w:r>
    </w:p>
    <w:p w14:paraId="0AF500AD">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1.具有独立承担民事责任的能力：在中华人民共和国境内注册的法人或其他组织或自然人，分支机构投标的，须提供总公司</w:t>
      </w:r>
      <w:r>
        <w:rPr>
          <w:rFonts w:hint="eastAsia" w:cs="仿宋_GB2312"/>
          <w:sz w:val="32"/>
          <w:szCs w:val="32"/>
          <w:lang w:eastAsia="zh-CN"/>
        </w:rPr>
        <w:t>（</w:t>
      </w:r>
      <w:r>
        <w:rPr>
          <w:rFonts w:hint="eastAsia" w:cs="仿宋_GB2312"/>
          <w:sz w:val="32"/>
          <w:szCs w:val="32"/>
          <w:lang w:val="en-US" w:eastAsia="zh-CN"/>
        </w:rPr>
        <w:t>或上级公司</w:t>
      </w:r>
      <w:r>
        <w:rPr>
          <w:rFonts w:hint="eastAsia" w:cs="仿宋_GB2312"/>
          <w:sz w:val="32"/>
          <w:szCs w:val="32"/>
          <w:lang w:eastAsia="zh-CN"/>
        </w:rPr>
        <w:t>）</w:t>
      </w:r>
      <w:r>
        <w:rPr>
          <w:rFonts w:ascii="Times New Roman" w:hAnsi="Times New Roman" w:eastAsia="仿宋_GB2312" w:cs="仿宋_GB2312"/>
          <w:sz w:val="32"/>
          <w:szCs w:val="32"/>
        </w:rPr>
        <w:t>和分公司</w:t>
      </w:r>
      <w:r>
        <w:rPr>
          <w:rFonts w:hint="eastAsia" w:cs="仿宋_GB2312"/>
          <w:sz w:val="32"/>
          <w:szCs w:val="32"/>
          <w:lang w:eastAsia="zh-CN"/>
        </w:rPr>
        <w:t>（</w:t>
      </w:r>
      <w:r>
        <w:rPr>
          <w:rFonts w:hint="eastAsia" w:cs="仿宋_GB2312"/>
          <w:sz w:val="32"/>
          <w:szCs w:val="32"/>
          <w:lang w:val="en-US" w:eastAsia="zh-CN"/>
        </w:rPr>
        <w:t>分支机构</w:t>
      </w:r>
      <w:r>
        <w:rPr>
          <w:rFonts w:hint="eastAsia" w:cs="仿宋_GB2312"/>
          <w:sz w:val="32"/>
          <w:szCs w:val="32"/>
          <w:lang w:eastAsia="zh-CN"/>
        </w:rPr>
        <w:t>）</w:t>
      </w:r>
      <w:r>
        <w:rPr>
          <w:rFonts w:ascii="Times New Roman" w:hAnsi="Times New Roman" w:eastAsia="仿宋_GB2312" w:cs="仿宋_GB2312"/>
          <w:sz w:val="32"/>
          <w:szCs w:val="32"/>
        </w:rPr>
        <w:t>营业执照副本复印件，总公司</w:t>
      </w:r>
      <w:r>
        <w:rPr>
          <w:rFonts w:hint="eastAsia" w:cs="仿宋_GB2312"/>
          <w:sz w:val="32"/>
          <w:szCs w:val="32"/>
          <w:lang w:eastAsia="zh-CN"/>
        </w:rPr>
        <w:t>（</w:t>
      </w:r>
      <w:r>
        <w:rPr>
          <w:rFonts w:hint="eastAsia" w:cs="仿宋_GB2312"/>
          <w:sz w:val="32"/>
          <w:szCs w:val="32"/>
          <w:lang w:val="en-US" w:eastAsia="zh-CN"/>
        </w:rPr>
        <w:t>上级公司</w:t>
      </w:r>
      <w:r>
        <w:rPr>
          <w:rFonts w:hint="eastAsia" w:cs="仿宋_GB2312"/>
          <w:sz w:val="32"/>
          <w:szCs w:val="32"/>
          <w:lang w:eastAsia="zh-CN"/>
        </w:rPr>
        <w:t>）</w:t>
      </w:r>
      <w:r>
        <w:rPr>
          <w:rFonts w:ascii="Times New Roman" w:hAnsi="Times New Roman" w:eastAsia="仿宋_GB2312" w:cs="仿宋_GB2312"/>
          <w:sz w:val="32"/>
          <w:szCs w:val="32"/>
        </w:rPr>
        <w:t>出具给分支机构</w:t>
      </w:r>
      <w:r>
        <w:rPr>
          <w:rFonts w:hint="eastAsia" w:cs="仿宋_GB2312"/>
          <w:sz w:val="32"/>
          <w:szCs w:val="32"/>
          <w:lang w:eastAsia="zh-CN"/>
        </w:rPr>
        <w:t>（</w:t>
      </w:r>
      <w:r>
        <w:rPr>
          <w:rFonts w:hint="eastAsia" w:cs="仿宋_GB2312"/>
          <w:sz w:val="32"/>
          <w:szCs w:val="32"/>
          <w:lang w:val="en-US" w:eastAsia="zh-CN"/>
        </w:rPr>
        <w:t>分支机构</w:t>
      </w:r>
      <w:bookmarkStart w:id="0" w:name="_GoBack"/>
      <w:bookmarkEnd w:id="0"/>
      <w:r>
        <w:rPr>
          <w:rFonts w:hint="eastAsia" w:cs="仿宋_GB2312"/>
          <w:sz w:val="32"/>
          <w:szCs w:val="32"/>
          <w:lang w:eastAsia="zh-CN"/>
        </w:rPr>
        <w:t>）</w:t>
      </w:r>
      <w:r>
        <w:rPr>
          <w:rFonts w:ascii="Times New Roman" w:hAnsi="Times New Roman" w:eastAsia="仿宋_GB2312" w:cs="仿宋_GB2312"/>
          <w:sz w:val="32"/>
          <w:szCs w:val="32"/>
        </w:rPr>
        <w:t>的授权书（提供有效的营业执照复印件或事业法人登记证或身份证等相关证明，并提供完整营业范围截图）；</w:t>
      </w:r>
    </w:p>
    <w:p w14:paraId="34EEEDFE">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2.有依法缴纳税收和社会保障资金的良好记录，具有良好的商业信誉和健全的财务会计制度，履行合同所必需的设备和专业技术能力，法律、行政法规规定的其他条件（提供承诺函，格式自拟）；</w:t>
      </w:r>
    </w:p>
    <w:p w14:paraId="1F109936">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3.单位负责人为同一人或者存在直接控股、管理关系的不同供应商，不得参加同一项目报价，一经发现按废标处理并标记为不诚信供应商（提供声明函，格式自拟）；</w:t>
      </w:r>
    </w:p>
    <w:p w14:paraId="0A493D9E">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4.响应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须提供网站查询结果截图证明；</w:t>
      </w:r>
    </w:p>
    <w:p w14:paraId="214BBF9D">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5.在中华人民共和国境内依法设立，持有金融许可证（提供盖章复印件）；</w:t>
      </w:r>
    </w:p>
    <w:p w14:paraId="34ED1B74">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6.在广州市区域内设有分支机构（需提供分支机构营业执照或相关证明）</w:t>
      </w:r>
    </w:p>
    <w:p w14:paraId="71065393">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7.本项目不接受联合体参与。</w:t>
      </w:r>
    </w:p>
    <w:p w14:paraId="0777447E">
      <w:pPr>
        <w:numPr>
          <w:ilvl w:val="0"/>
          <w:numId w:val="0"/>
        </w:numPr>
        <w:rPr>
          <w:rFonts w:hint="eastAsia"/>
        </w:rPr>
      </w:pPr>
    </w:p>
    <w:p w14:paraId="6230199A">
      <w:pPr>
        <w:numPr>
          <w:ilvl w:val="0"/>
          <w:numId w:val="0"/>
        </w:numPr>
        <w:rPr>
          <w:rFonts w:hint="eastAsia"/>
        </w:rPr>
      </w:pPr>
    </w:p>
    <w:p w14:paraId="27E68DB6">
      <w:pPr>
        <w:pStyle w:val="2"/>
      </w:pPr>
      <w:r>
        <w:t>三、服务内容</w:t>
      </w:r>
    </w:p>
    <w:p w14:paraId="521F6D68">
      <w:pPr>
        <w:rPr>
          <w:rFonts w:hint="eastAsia"/>
        </w:rPr>
      </w:pPr>
    </w:p>
    <w:p w14:paraId="57E570F6">
      <w:pPr>
        <w:pStyle w:val="3"/>
      </w:pPr>
      <w:r>
        <w:t xml:space="preserve">1. 账户开立与管理  </w:t>
      </w:r>
    </w:p>
    <w:p w14:paraId="599D1119">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为我院开立专用存款账户，确保账户开立流程合规、便捷。</w:t>
      </w:r>
    </w:p>
    <w:p w14:paraId="06D5CF6F">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协助我院办理日常存取款、转账、查询等业务。</w:t>
      </w:r>
    </w:p>
    <w:p w14:paraId="70AF4AD7">
      <w:pPr>
        <w:rPr>
          <w:rFonts w:hint="eastAsia"/>
        </w:rPr>
      </w:pPr>
    </w:p>
    <w:p w14:paraId="5812ADAB">
      <w:pPr>
        <w:pStyle w:val="3"/>
      </w:pPr>
      <w:r>
        <w:t xml:space="preserve">2. 资金存放与利率优惠  </w:t>
      </w:r>
    </w:p>
    <w:p w14:paraId="1A84750A">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在符合国家利率政策的前提下，提供优惠的存款利率（如整存整取、定期存款、协定存款等）。</w:t>
      </w:r>
    </w:p>
    <w:p w14:paraId="1AE89E2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资金不转出专户的前提下，采取合法合规方式实现保值增值。</w:t>
      </w:r>
    </w:p>
    <w:p w14:paraId="536616E4">
      <w:pPr>
        <w:rPr>
          <w:rFonts w:hint="eastAsia"/>
        </w:rPr>
      </w:pPr>
    </w:p>
    <w:p w14:paraId="2B361BCE">
      <w:pPr>
        <w:pStyle w:val="3"/>
      </w:pPr>
      <w:r>
        <w:t xml:space="preserve">3. 资金支付与清算  </w:t>
      </w:r>
    </w:p>
    <w:p w14:paraId="6B83C6A8">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建立标准化、高效的支付业务处理流程，明确岗位职责、审批权限及操作规范。</w:t>
      </w:r>
    </w:p>
    <w:p w14:paraId="1BF95E7F">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拥有安全、稳定、高效的现代化资金汇划清算系统：</w:t>
      </w:r>
    </w:p>
    <w:p w14:paraId="545A29D5">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本行同城转账实时到账；</w:t>
      </w:r>
    </w:p>
    <w:p w14:paraId="5E0842C2">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异地汇划2小时内到账；</w:t>
      </w:r>
    </w:p>
    <w:p w14:paraId="4EF5C4F0">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跨行支付24小时内到账；</w:t>
      </w:r>
    </w:p>
    <w:p w14:paraId="1CA7C38E">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系统支持7×24小时不间断运行，具备高并发处理、实时数据交互、灾备机制。</w:t>
      </w:r>
    </w:p>
    <w:p w14:paraId="0FCD0F52">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支持自动化清算、智能对账、异常监测等功能，符合中国人民银行相关规范。</w:t>
      </w:r>
    </w:p>
    <w:p w14:paraId="70884C83">
      <w:pPr>
        <w:rPr>
          <w:rFonts w:hint="eastAsia"/>
        </w:rPr>
      </w:pPr>
    </w:p>
    <w:p w14:paraId="33232B41">
      <w:pPr>
        <w:pStyle w:val="3"/>
      </w:pPr>
      <w:r>
        <w:t xml:space="preserve">4. 对账与动态监控  </w:t>
      </w:r>
    </w:p>
    <w:p w14:paraId="49DD6C87">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按规定及时、准确、完整地向我院传输动态监控信息。</w:t>
      </w:r>
    </w:p>
    <w:p w14:paraId="0B606E62">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提供日常对账服务，发现重大违规支付事项及时报告。</w:t>
      </w:r>
    </w:p>
    <w:p w14:paraId="58206737">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协助我院进行资金使用合规审核。</w:t>
      </w:r>
    </w:p>
    <w:p w14:paraId="10BD6EC1">
      <w:pPr>
        <w:rPr>
          <w:rFonts w:hint="eastAsia"/>
        </w:rPr>
      </w:pPr>
    </w:p>
    <w:p w14:paraId="27935EA4">
      <w:pPr>
        <w:pStyle w:val="3"/>
      </w:pPr>
      <w:r>
        <w:t xml:space="preserve">5. 应急与安全保障  </w:t>
      </w:r>
    </w:p>
    <w:p w14:paraId="419006E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建立完善的应急预案，确保非正常状态下（如突发事件）支付业务正常开展。</w:t>
      </w:r>
    </w:p>
    <w:p w14:paraId="1235A47E">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严格内部控制，定期开展风险排查，防范资金风险和信息安全风险。</w:t>
      </w:r>
    </w:p>
    <w:p w14:paraId="5E1E67A5">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建立健全业务档案管理制度，妥善保管电子数据、纸质凭证等资料，严格保密。</w:t>
      </w:r>
    </w:p>
    <w:p w14:paraId="00FF979B">
      <w:pPr>
        <w:rPr>
          <w:rFonts w:hint="eastAsia"/>
        </w:rPr>
      </w:pPr>
    </w:p>
    <w:p w14:paraId="339BECD9">
      <w:pPr>
        <w:pStyle w:val="3"/>
      </w:pPr>
      <w:r>
        <w:t xml:space="preserve">6. 系统对接与技术支持  </w:t>
      </w:r>
    </w:p>
    <w:p w14:paraId="6DDA2571">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满足与我院财务系统（或财政一体化系统）对接需求，支持资金核算、查询功能稳定运行。</w:t>
      </w:r>
    </w:p>
    <w:p w14:paraId="79B1906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提供必要的计算机软件升级、网络维护支持。</w:t>
      </w:r>
    </w:p>
    <w:p w14:paraId="65CF2985">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具备先进的计算机硬件和网络设备，保障网络安全，承担自身网络安全责任。</w:t>
      </w:r>
    </w:p>
    <w:p w14:paraId="0EA067C9">
      <w:pPr>
        <w:rPr>
          <w:rFonts w:hint="eastAsia"/>
        </w:rPr>
      </w:pPr>
    </w:p>
    <w:p w14:paraId="59C4BAB9">
      <w:pPr>
        <w:pStyle w:val="3"/>
      </w:pPr>
      <w:r>
        <w:t xml:space="preserve">7. 人员配置与服务  </w:t>
      </w:r>
    </w:p>
    <w:p w14:paraId="243D6D39">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配备专门业务部门和工作人员，提供优质服务，畅通问题投诉渠道。</w:t>
      </w:r>
    </w:p>
    <w:p w14:paraId="650C40A1">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定期开展业务培训与考核，确保人员熟练掌握流程。</w:t>
      </w:r>
    </w:p>
    <w:p w14:paraId="7A103D40">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可提供上门服务（如取票、送票等），确保资金日清月结。</w:t>
      </w:r>
    </w:p>
    <w:p w14:paraId="27139616">
      <w:pPr>
        <w:rPr>
          <w:rFonts w:hint="eastAsia"/>
        </w:rPr>
      </w:pPr>
    </w:p>
    <w:p w14:paraId="460A9A8F">
      <w:pPr>
        <w:pStyle w:val="3"/>
      </w:pPr>
      <w:r>
        <w:t xml:space="preserve">8. 增值服务  </w:t>
      </w:r>
    </w:p>
    <w:p w14:paraId="3C56A1FA">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提供网上银行实时查询、资金调拨、支付操作功能。</w:t>
      </w:r>
    </w:p>
    <w:p w14:paraId="367943EA">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支持信用卡、借记卡、移动支付等多种支付方式对接。</w:t>
      </w:r>
    </w:p>
    <w:p w14:paraId="56BB380D">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提供现金收款、零钱兑换等金融服务，协助我院管理现金流动。</w:t>
      </w:r>
    </w:p>
    <w:p w14:paraId="65DA6124">
      <w:pPr>
        <w:rPr>
          <w:rFonts w:hint="eastAsia"/>
        </w:rPr>
      </w:pPr>
    </w:p>
    <w:p w14:paraId="4AA2359C">
      <w:pPr>
        <w:pStyle w:val="3"/>
      </w:pPr>
      <w:r>
        <w:t xml:space="preserve">9. 其他要求  </w:t>
      </w:r>
    </w:p>
    <w:p w14:paraId="3B006F5C">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积极配合我院年终结算工作。</w:t>
      </w:r>
    </w:p>
    <w:p w14:paraId="66988F44">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接受人民银行等监管部门的日常监督检查。</w:t>
      </w:r>
    </w:p>
    <w:p w14:paraId="45CC6935">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做好内部沟通协调，配合我院相关工作。</w:t>
      </w:r>
    </w:p>
    <w:p w14:paraId="287F1724">
      <w:pPr>
        <w:rPr>
          <w:rFonts w:hint="eastAsia"/>
        </w:rPr>
      </w:pPr>
    </w:p>
    <w:p w14:paraId="74E27C2F">
      <w:pPr>
        <w:rPr>
          <w:rFonts w:hint="eastAsia"/>
        </w:rPr>
      </w:pPr>
    </w:p>
    <w:p w14:paraId="6CC84159">
      <w:pPr>
        <w:pStyle w:val="8"/>
        <w:jc w:val="left"/>
      </w:pPr>
      <w:r>
        <w:t>四、评审标准</w:t>
      </w:r>
    </w:p>
    <w:p w14:paraId="152AB4A4">
      <w:pPr>
        <w:rPr>
          <w:rFonts w:hint="eastAsia"/>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9"/>
        <w:gridCol w:w="1100"/>
        <w:gridCol w:w="631"/>
        <w:gridCol w:w="5397"/>
        <w:gridCol w:w="955"/>
      </w:tblGrid>
      <w:tr w14:paraId="6DA9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038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105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类别</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C85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分项指标</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7B90">
            <w:pPr>
              <w:keepNext w:val="0"/>
              <w:keepLines w:val="0"/>
              <w:widowControl/>
              <w:suppressLineNumbers w:val="0"/>
              <w:jc w:val="both"/>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评分标准</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E2D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（参考）权重</w:t>
            </w:r>
          </w:p>
        </w:tc>
      </w:tr>
      <w:tr w14:paraId="70B9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91454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0D4765A9">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经营状况（40％）</w:t>
            </w:r>
          </w:p>
        </w:tc>
        <w:tc>
          <w:tcPr>
            <w:tcW w:w="37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0CB23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净资产总额</w:t>
            </w:r>
          </w:p>
        </w:tc>
        <w:tc>
          <w:tcPr>
            <w:tcW w:w="316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927A42E">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（服务银行该指标数值／所有参评银行在本指标中的最大值）×100</w:t>
            </w:r>
          </w:p>
        </w:tc>
        <w:tc>
          <w:tcPr>
            <w:tcW w:w="56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596F5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r>
      <w:tr w14:paraId="1BDF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06CC4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641F01B">
            <w:pPr>
              <w:jc w:val="center"/>
              <w:rPr>
                <w:rFonts w:hint="eastAsia" w:ascii="仿宋" w:hAnsi="仿宋" w:eastAsia="仿宋" w:cs="仿宋"/>
                <w:b/>
                <w:bCs/>
                <w:i w:val="0"/>
                <w:iCs w:val="0"/>
                <w:color w:val="auto"/>
                <w:sz w:val="21"/>
                <w:szCs w:val="21"/>
                <w:highlight w:val="none"/>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FFCD3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资本充足率</w:t>
            </w:r>
          </w:p>
        </w:tc>
        <w:tc>
          <w:tcPr>
            <w:tcW w:w="316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CFC6EBB">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（服务银行该指标数值／所有参评银行在本指标中的最大值）×100</w:t>
            </w:r>
          </w:p>
        </w:tc>
        <w:tc>
          <w:tcPr>
            <w:tcW w:w="56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34384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r>
      <w:tr w14:paraId="46A7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64CA5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830F30C">
            <w:pPr>
              <w:jc w:val="center"/>
              <w:rPr>
                <w:rFonts w:hint="eastAsia" w:ascii="仿宋" w:hAnsi="仿宋" w:eastAsia="仿宋" w:cs="仿宋"/>
                <w:b/>
                <w:bCs/>
                <w:i w:val="0"/>
                <w:iCs w:val="0"/>
                <w:color w:val="auto"/>
                <w:sz w:val="21"/>
                <w:szCs w:val="21"/>
                <w:highlight w:val="none"/>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CAF13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不良贷款率</w:t>
            </w:r>
          </w:p>
        </w:tc>
        <w:tc>
          <w:tcPr>
            <w:tcW w:w="316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A45B4A6">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（所有服务银行本指标中的最小值／服务银行该指标值）×100</w:t>
            </w:r>
          </w:p>
        </w:tc>
        <w:tc>
          <w:tcPr>
            <w:tcW w:w="56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AA616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r>
      <w:tr w14:paraId="2D56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BA095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68C1209">
            <w:pPr>
              <w:jc w:val="center"/>
              <w:rPr>
                <w:rFonts w:hint="eastAsia" w:ascii="仿宋" w:hAnsi="仿宋" w:eastAsia="仿宋" w:cs="仿宋"/>
                <w:b/>
                <w:bCs/>
                <w:i w:val="0"/>
                <w:iCs w:val="0"/>
                <w:color w:val="auto"/>
                <w:sz w:val="21"/>
                <w:szCs w:val="21"/>
                <w:highlight w:val="none"/>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94953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资产利润率</w:t>
            </w:r>
          </w:p>
        </w:tc>
        <w:tc>
          <w:tcPr>
            <w:tcW w:w="316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6DAB7CB">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（服务银行该指标数值／所有参评银行在本指标中的最大值）×100</w:t>
            </w:r>
          </w:p>
        </w:tc>
        <w:tc>
          <w:tcPr>
            <w:tcW w:w="56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0BD6F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r>
      <w:tr w14:paraId="6C33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190E4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613E662">
            <w:pPr>
              <w:jc w:val="center"/>
              <w:rPr>
                <w:rFonts w:hint="eastAsia" w:ascii="仿宋" w:hAnsi="仿宋" w:eastAsia="仿宋" w:cs="仿宋"/>
                <w:b/>
                <w:bCs/>
                <w:i w:val="0"/>
                <w:iCs w:val="0"/>
                <w:color w:val="auto"/>
                <w:sz w:val="21"/>
                <w:szCs w:val="21"/>
                <w:highlight w:val="none"/>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590E4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流动性比例</w:t>
            </w:r>
          </w:p>
        </w:tc>
        <w:tc>
          <w:tcPr>
            <w:tcW w:w="316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AA24A99">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（服务银行该指标数值／所有参评银行在本指标中的最大值）×100</w:t>
            </w:r>
          </w:p>
        </w:tc>
        <w:tc>
          <w:tcPr>
            <w:tcW w:w="56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D4500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r>
      <w:tr w14:paraId="1AED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58" w:type="pct"/>
            <w:tcBorders>
              <w:top w:val="nil"/>
              <w:left w:val="single" w:color="000000" w:sz="4" w:space="0"/>
              <w:bottom w:val="single" w:color="000000" w:sz="4" w:space="0"/>
              <w:right w:val="single" w:color="000000" w:sz="4" w:space="0"/>
            </w:tcBorders>
            <w:shd w:val="clear" w:color="auto" w:fill="auto"/>
            <w:vAlign w:val="center"/>
          </w:tcPr>
          <w:p w14:paraId="44B1EE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45" w:type="pct"/>
            <w:vMerge w:val="restart"/>
            <w:tcBorders>
              <w:top w:val="nil"/>
              <w:left w:val="single" w:color="000000" w:sz="4" w:space="0"/>
              <w:bottom w:val="single" w:color="000000" w:sz="4" w:space="0"/>
              <w:right w:val="single" w:color="000000" w:sz="4" w:space="0"/>
            </w:tcBorders>
            <w:shd w:val="clear" w:color="auto" w:fill="auto"/>
            <w:vAlign w:val="center"/>
          </w:tcPr>
          <w:p w14:paraId="1FD3DA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服务水平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（60％）</w:t>
            </w:r>
          </w:p>
        </w:tc>
        <w:tc>
          <w:tcPr>
            <w:tcW w:w="370" w:type="pct"/>
            <w:tcBorders>
              <w:top w:val="nil"/>
              <w:left w:val="single" w:color="000000" w:sz="4" w:space="0"/>
              <w:bottom w:val="single" w:color="000000" w:sz="4" w:space="0"/>
              <w:right w:val="single" w:color="000000" w:sz="4" w:space="0"/>
            </w:tcBorders>
            <w:shd w:val="clear" w:color="auto" w:fill="auto"/>
            <w:vAlign w:val="center"/>
          </w:tcPr>
          <w:p w14:paraId="169ADD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服务方案</w:t>
            </w:r>
          </w:p>
        </w:tc>
        <w:tc>
          <w:tcPr>
            <w:tcW w:w="3166" w:type="pct"/>
            <w:tcBorders>
              <w:top w:val="nil"/>
              <w:left w:val="single" w:color="000000" w:sz="4" w:space="0"/>
              <w:bottom w:val="single" w:color="000000" w:sz="4" w:space="0"/>
              <w:right w:val="single" w:color="000000" w:sz="4" w:space="0"/>
            </w:tcBorders>
            <w:shd w:val="clear" w:color="auto" w:fill="auto"/>
            <w:vAlign w:val="center"/>
          </w:tcPr>
          <w:p w14:paraId="3F812F8F">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根据各服务银行提供的服务方案进行评审，包括但不限于：账户开设流程、资金支付业务流程、账户查询及对账流程、存款利率上浮、服务团队等。细则：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（1）方案完整详细、科学合理、专业性和可行性强，能完全满足或优于本单位需求的，得10分；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（2）方案较完整详细、科学合理、专业性和可行性比较强，能基本满足本单位需求的，得7分；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（3）方案不够完整详细、科学合理、专业性和可行性一般，只部分满足本单位需求的，得4分；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（4）方案不合理，有重大缺陷的，得0分。</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7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595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8" w:type="pct"/>
            <w:tcBorders>
              <w:top w:val="nil"/>
              <w:left w:val="single" w:color="000000" w:sz="4" w:space="0"/>
              <w:bottom w:val="single" w:color="000000" w:sz="4" w:space="0"/>
              <w:right w:val="single" w:color="000000" w:sz="4" w:space="0"/>
            </w:tcBorders>
            <w:shd w:val="clear" w:color="auto" w:fill="auto"/>
            <w:vAlign w:val="center"/>
          </w:tcPr>
          <w:p w14:paraId="151B01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5" w:type="pct"/>
            <w:vMerge w:val="continue"/>
            <w:tcBorders>
              <w:top w:val="nil"/>
              <w:left w:val="single" w:color="000000" w:sz="4" w:space="0"/>
              <w:bottom w:val="single" w:color="000000" w:sz="4" w:space="0"/>
              <w:right w:val="single" w:color="000000" w:sz="4" w:space="0"/>
            </w:tcBorders>
            <w:shd w:val="clear" w:color="auto" w:fill="auto"/>
            <w:vAlign w:val="center"/>
          </w:tcPr>
          <w:p w14:paraId="585F2E6C">
            <w:pPr>
              <w:jc w:val="center"/>
              <w:rPr>
                <w:rFonts w:hint="eastAsia" w:ascii="仿宋" w:hAnsi="仿宋" w:eastAsia="仿宋" w:cs="仿宋"/>
                <w:i w:val="0"/>
                <w:iCs w:val="0"/>
                <w:color w:val="000000"/>
                <w:sz w:val="21"/>
                <w:szCs w:val="21"/>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37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医保服务情况</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470B">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根据广州市医疗保险服务中心关于广州市社会医疗保险服务协议银行年度履约情况考核评价结果：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2022－2024年中有两年及以上考评“优”得10分；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2022－2024年中有一年及以上考评“优”得5分；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2022－2024年三年考评均无“优”得0分；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提供广州市医疗保险服务中心的评价证明文件，提供相应评审依据，没有或不提供相关材料不得分。</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89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F5B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8" w:type="pct"/>
            <w:tcBorders>
              <w:top w:val="nil"/>
              <w:left w:val="single" w:color="000000" w:sz="4" w:space="0"/>
              <w:bottom w:val="single" w:color="000000" w:sz="4" w:space="0"/>
              <w:right w:val="single" w:color="000000" w:sz="4" w:space="0"/>
            </w:tcBorders>
            <w:shd w:val="clear" w:color="auto" w:fill="auto"/>
            <w:vAlign w:val="center"/>
          </w:tcPr>
          <w:p w14:paraId="27FE21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5" w:type="pct"/>
            <w:vMerge w:val="continue"/>
            <w:tcBorders>
              <w:top w:val="nil"/>
              <w:left w:val="single" w:color="000000" w:sz="4" w:space="0"/>
              <w:bottom w:val="single" w:color="000000" w:sz="4" w:space="0"/>
              <w:right w:val="single" w:color="000000" w:sz="4" w:space="0"/>
            </w:tcBorders>
            <w:shd w:val="clear" w:color="auto" w:fill="auto"/>
            <w:vAlign w:val="center"/>
          </w:tcPr>
          <w:p w14:paraId="1C2E8A67">
            <w:pPr>
              <w:jc w:val="center"/>
              <w:rPr>
                <w:rFonts w:hint="eastAsia" w:ascii="仿宋" w:hAnsi="仿宋" w:eastAsia="仿宋" w:cs="仿宋"/>
                <w:i w:val="0"/>
                <w:iCs w:val="0"/>
                <w:color w:val="000000"/>
                <w:sz w:val="21"/>
                <w:szCs w:val="21"/>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6E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社保服务情况</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83BF">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根据各服务银行提供的截止2025年末广东省社保卡发卡量进行评审。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按照发卡量从高到低排名，第1名得8分，第2名得5分，第3名得2分，其他名次不得分。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提供广东省社保卡发卡量情况说明（格式自拟）并加盖投标人公章，不提供不得分。（不纳入统计范围：省外签发但在广东省内使用的社保卡；试点阶段的测试卡、临时卡。）</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14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14:paraId="4873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8" w:type="pct"/>
            <w:tcBorders>
              <w:top w:val="nil"/>
              <w:left w:val="single" w:color="000000" w:sz="4" w:space="0"/>
              <w:bottom w:val="single" w:color="000000" w:sz="4" w:space="0"/>
              <w:right w:val="single" w:color="000000" w:sz="4" w:space="0"/>
            </w:tcBorders>
            <w:shd w:val="clear" w:color="auto" w:fill="auto"/>
            <w:vAlign w:val="center"/>
          </w:tcPr>
          <w:p w14:paraId="6434DE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645" w:type="pct"/>
            <w:vMerge w:val="continue"/>
            <w:tcBorders>
              <w:top w:val="nil"/>
              <w:left w:val="single" w:color="000000" w:sz="4" w:space="0"/>
              <w:bottom w:val="single" w:color="000000" w:sz="4" w:space="0"/>
              <w:right w:val="single" w:color="000000" w:sz="4" w:space="0"/>
            </w:tcBorders>
            <w:shd w:val="clear" w:color="auto" w:fill="auto"/>
            <w:vAlign w:val="center"/>
          </w:tcPr>
          <w:p w14:paraId="1C608AD7">
            <w:pPr>
              <w:jc w:val="center"/>
              <w:rPr>
                <w:rFonts w:hint="eastAsia" w:ascii="仿宋" w:hAnsi="仿宋" w:eastAsia="仿宋" w:cs="仿宋"/>
                <w:i w:val="0"/>
                <w:iCs w:val="0"/>
                <w:color w:val="000000"/>
                <w:sz w:val="21"/>
                <w:szCs w:val="21"/>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6D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人行评价情况</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959C">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根据广州地区银行机构2024年度综合评估等级，综合评估等级A级得10分，B级得5分，其他不得分</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3E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07A0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258" w:type="pct"/>
            <w:tcBorders>
              <w:top w:val="nil"/>
              <w:left w:val="single" w:color="000000" w:sz="4" w:space="0"/>
              <w:bottom w:val="single" w:color="000000" w:sz="4" w:space="0"/>
              <w:right w:val="single" w:color="000000" w:sz="4" w:space="0"/>
            </w:tcBorders>
            <w:shd w:val="clear" w:color="auto" w:fill="auto"/>
            <w:vAlign w:val="center"/>
          </w:tcPr>
          <w:p w14:paraId="4CBEE7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45" w:type="pct"/>
            <w:vMerge w:val="continue"/>
            <w:tcBorders>
              <w:top w:val="nil"/>
              <w:left w:val="single" w:color="000000" w:sz="4" w:space="0"/>
              <w:bottom w:val="single" w:color="000000" w:sz="4" w:space="0"/>
              <w:right w:val="single" w:color="000000" w:sz="4" w:space="0"/>
            </w:tcBorders>
            <w:shd w:val="clear" w:color="auto" w:fill="auto"/>
            <w:vAlign w:val="center"/>
          </w:tcPr>
          <w:p w14:paraId="543A04BD">
            <w:pPr>
              <w:jc w:val="center"/>
              <w:rPr>
                <w:rFonts w:hint="eastAsia" w:ascii="仿宋" w:hAnsi="仿宋" w:eastAsia="仿宋" w:cs="仿宋"/>
                <w:i w:val="0"/>
                <w:iCs w:val="0"/>
                <w:color w:val="000000"/>
                <w:sz w:val="21"/>
                <w:szCs w:val="21"/>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E4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银行服务辐射能力</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8799">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按投标人提供的截至2025年末所属总行在广东省范围内持有金融许可证网点数量从高到低排名，第1名得10分，第2名得5分，第3名得2分，第4名得1分，第5名起不得分。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提供银行服务辐射能力情况说明函（格式自拟）并加盖投标人公章，不提供不得分。投标人须通过查询国家金融监督管理总局官网查询金融许可证信息，核实持有金融许可证网点数量。（不纳入统计范围：自助银行、ATM机、智能终端网点、临时网点、代理网点、已注销／关停网点、筹备中网点）</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76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DC1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8" w:type="pct"/>
            <w:tcBorders>
              <w:top w:val="nil"/>
              <w:left w:val="single" w:color="000000" w:sz="4" w:space="0"/>
              <w:bottom w:val="single" w:color="000000" w:sz="4" w:space="0"/>
              <w:right w:val="single" w:color="000000" w:sz="4" w:space="0"/>
            </w:tcBorders>
            <w:shd w:val="clear" w:color="auto" w:fill="auto"/>
            <w:vAlign w:val="center"/>
          </w:tcPr>
          <w:p w14:paraId="741CF7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645" w:type="pct"/>
            <w:vMerge w:val="continue"/>
            <w:tcBorders>
              <w:top w:val="nil"/>
              <w:left w:val="single" w:color="000000" w:sz="4" w:space="0"/>
              <w:bottom w:val="single" w:color="000000" w:sz="4" w:space="0"/>
              <w:right w:val="single" w:color="000000" w:sz="4" w:space="0"/>
            </w:tcBorders>
            <w:shd w:val="clear" w:color="auto" w:fill="auto"/>
            <w:vAlign w:val="center"/>
          </w:tcPr>
          <w:p w14:paraId="302E7D45">
            <w:pPr>
              <w:jc w:val="center"/>
              <w:rPr>
                <w:rFonts w:hint="eastAsia" w:ascii="仿宋" w:hAnsi="仿宋" w:eastAsia="仿宋" w:cs="仿宋"/>
                <w:i w:val="0"/>
                <w:iCs w:val="0"/>
                <w:color w:val="000000"/>
                <w:sz w:val="21"/>
                <w:szCs w:val="21"/>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86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减费让利情况</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256A">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全面减免网银开立、网银汇款转账、账户开销户、短信服务、账户管理费、银联收单手续费以上高频业务费用。全部减免得12分，少减免一项扣2分，减至0分为止。</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9C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r>
    </w:tbl>
    <w:p w14:paraId="0BA1BAE9">
      <w:pPr>
        <w:rPr>
          <w:rFonts w:hint="eastAsia"/>
        </w:rPr>
      </w:pPr>
    </w:p>
    <w:p w14:paraId="20F66B65">
      <w:pPr>
        <w:rPr>
          <w:rFonts w:hint="eastAsia"/>
        </w:rPr>
      </w:pPr>
    </w:p>
    <w:p w14:paraId="1278F087">
      <w:pPr>
        <w:rPr>
          <w:rFonts w:hint="eastAsia"/>
        </w:rPr>
      </w:pPr>
    </w:p>
    <w:p w14:paraId="7817EA63">
      <w:pPr>
        <w:rPr>
          <w:rFonts w:hint="eastAsia"/>
        </w:rPr>
      </w:pPr>
    </w:p>
    <w:p w14:paraId="53A2498E">
      <w:pPr>
        <w:pStyle w:val="4"/>
        <w:keepNext w:val="0"/>
        <w:keepLines w:val="0"/>
        <w:pageBreakBefore w:val="0"/>
        <w:widowControl/>
        <w:kinsoku/>
        <w:wordWrap/>
        <w:overflowPunct/>
        <w:topLinePunct w:val="0"/>
        <w:autoSpaceDE/>
        <w:autoSpaceDN/>
        <w:bidi w:val="0"/>
        <w:adjustRightInd w:val="0"/>
        <w:snapToGrid/>
        <w:ind w:left="3858" w:leftChars="0" w:right="396" w:rightChars="0" w:firstLine="0" w:firstLineChars="0"/>
        <w:jc w:val="right"/>
        <w:textAlignment w:val="auto"/>
        <w:rPr>
          <w:rFonts w:hint="default"/>
          <w:sz w:val="32"/>
          <w:szCs w:val="32"/>
          <w:lang w:val="en-US" w:eastAsia="zh-CN"/>
        </w:rPr>
      </w:pPr>
      <mc:AlternateContent>
        <mc:Choice Requires="wpsCustomData">
          <wpsCustomData:docfieldStart id="1" docfieldname="发文机关署名_2" hidden="0" print="1" readonly="0" index="11"/>
        </mc:Choice>
      </mc:AlternateContent>
      <w:r>
        <w:rPr>
          <w:rFonts w:hint="eastAsia"/>
          <w:sz w:val="32"/>
          <w:szCs w:val="32"/>
          <w:lang w:val="en-US" w:eastAsia="zh-CN"/>
        </w:rPr>
        <w:t>广东省工人疗养院</w:t>
      </w:r>
      <mc:AlternateContent>
        <mc:Choice Requires="wpsCustomData">
          <wpsCustomData:docfieldEnd id="1"/>
        </mc:Choice>
      </mc:AlternateContent>
    </w:p>
    <w:p w14:paraId="2C3EFA64">
      <w:pPr>
        <w:pStyle w:val="4"/>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mc:AlternateContent>
        <mc:Choice Requires="wpsCustomData">
          <wpsCustomData:docfieldStart id="2" docfieldname="成文日期_2" hidden="0" print="1" readonly="0" index="12"/>
        </mc:Choice>
      </mc:AlternateContent>
      <w:r>
        <w:rPr>
          <w:rFonts w:hint="eastAsia"/>
          <w:sz w:val="32"/>
          <w:szCs w:val="32"/>
          <w:lang w:val="en-US" w:eastAsia="zh-CN"/>
        </w:rPr>
        <w:t>2026年月日</w:t>
      </w:r>
      <mc:AlternateContent>
        <mc:Choice Requires="wpsCustomData">
          <wpsCustomData:docfieldEnd id="2"/>
        </mc:Choice>
      </mc:AlternateContent>
    </w:p>
    <w:p w14:paraId="728DE9AD">
      <w:pPr>
        <w:pStyle w:val="4"/>
        <w:rPr>
          <w:rFonts w:hint="eastAsia" w:ascii="Times New Roman" w:hAnsi="Times New Roman" w:eastAsia="仿宋_GB2312" w:cs="仿宋_GB2312"/>
          <w:sz w:val="32"/>
          <w:szCs w:val="32"/>
          <w:lang w:eastAsia="zh-CN"/>
        </w:rPr>
      </w:pPr>
    </w:p>
    <w:p w14:paraId="31696B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1746C"/>
    <w:rsid w:val="1161746C"/>
    <w:rsid w:val="65285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8">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1477</Words>
  <Characters>1500</Characters>
  <Lines>0</Lines>
  <Paragraphs>0</Paragraphs>
  <TotalTime>2</TotalTime>
  <ScaleCrop>false</ScaleCrop>
  <LinksUpToDate>false</LinksUpToDate>
  <CharactersWithSpaces>1527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2026-03-25T06:39:00Z</dcterms:created>
  <dc:creator>曹云诗</dc:creator>
  <cp:lastModifiedBy>曹云诗</cp:lastModifiedBy>
  <dcterms:modified xsi:type="dcterms:W3CDTF">2026-03-27T07:46:17Z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B2F8A41DCE184318A2921B9751CAF5CA_11</vt:lpwstr>
  </property>
  <property fmtid="{D5CDD505-2E9C-101B-9397-08002B2CF9AE}" pid="4" name="KSOTemplateDocerSaveRecord">
    <vt:lpwstr>eyJoZGlkIjoiOWE3ZmU5N2M0MzRkNDFmZjJkOWM3NjdlYTk0MjcxZTkiLCJ1c2VySWQiOiIzOTY5MjIxMTYifQ==</vt:lpwstr>
  </property>
</Properties>
</file>